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BB6" w:rsidRDefault="00C85BB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85BB6" w:rsidRDefault="00C85BB6">
      <w:pPr>
        <w:pStyle w:val="ConsPlusNormal"/>
        <w:jc w:val="both"/>
      </w:pPr>
    </w:p>
    <w:p w:rsidR="00C85BB6" w:rsidRDefault="00C85BB6">
      <w:pPr>
        <w:pStyle w:val="ConsPlusTitle"/>
        <w:jc w:val="center"/>
      </w:pPr>
      <w:r>
        <w:t>ЗАКОНОДАТЕЛЬНОЕ СОБРАНИЕ ПЕРМСКОГО КРАЯ</w:t>
      </w:r>
    </w:p>
    <w:p w:rsidR="00C85BB6" w:rsidRDefault="00C85BB6">
      <w:pPr>
        <w:pStyle w:val="ConsPlusTitle"/>
        <w:jc w:val="center"/>
      </w:pPr>
    </w:p>
    <w:p w:rsidR="00C85BB6" w:rsidRDefault="00C85BB6">
      <w:pPr>
        <w:pStyle w:val="ConsPlusTitle"/>
        <w:jc w:val="center"/>
      </w:pPr>
      <w:r>
        <w:t>ПОСТАНОВЛЕНИЕ</w:t>
      </w:r>
    </w:p>
    <w:p w:rsidR="00C85BB6" w:rsidRDefault="00C85BB6">
      <w:pPr>
        <w:pStyle w:val="ConsPlusTitle"/>
        <w:jc w:val="center"/>
      </w:pPr>
      <w:r>
        <w:t>от 22 сентября 2011 г. N 2868</w:t>
      </w:r>
    </w:p>
    <w:p w:rsidR="00C85BB6" w:rsidRDefault="00C85BB6">
      <w:pPr>
        <w:pStyle w:val="ConsPlusTitle"/>
        <w:jc w:val="center"/>
      </w:pPr>
    </w:p>
    <w:p w:rsidR="00C85BB6" w:rsidRDefault="00C85BB6">
      <w:pPr>
        <w:pStyle w:val="ConsPlusTitle"/>
        <w:jc w:val="center"/>
      </w:pPr>
      <w:r>
        <w:t>ОБ УТВЕРЖДЕНИИ ПОКАЗАТЕЛЕЙ РЕЗУЛЬТАТИВНОСТИ ДЕЯТЕЛЬНОСТИ</w:t>
      </w:r>
    </w:p>
    <w:p w:rsidR="00C85BB6" w:rsidRDefault="00C85BB6">
      <w:pPr>
        <w:pStyle w:val="ConsPlusTitle"/>
        <w:jc w:val="center"/>
      </w:pPr>
      <w:r>
        <w:t>ПРАВИТЕЛЬСТВА ПЕРМСКОГО КРАЯ</w:t>
      </w:r>
    </w:p>
    <w:p w:rsidR="00C85BB6" w:rsidRDefault="00C85BB6">
      <w:pPr>
        <w:pStyle w:val="ConsPlusNormal"/>
        <w:jc w:val="center"/>
      </w:pPr>
      <w:r>
        <w:t>Список изменяющих документов</w:t>
      </w:r>
    </w:p>
    <w:p w:rsidR="00C85BB6" w:rsidRDefault="00C85BB6">
      <w:pPr>
        <w:pStyle w:val="ConsPlusNormal"/>
        <w:jc w:val="center"/>
      </w:pPr>
      <w:r>
        <w:t>(в ред. Постановлений Законодательного Собрания</w:t>
      </w:r>
    </w:p>
    <w:p w:rsidR="00C85BB6" w:rsidRDefault="00C85BB6">
      <w:pPr>
        <w:pStyle w:val="ConsPlusNormal"/>
        <w:jc w:val="center"/>
      </w:pPr>
      <w:r>
        <w:t xml:space="preserve">Пермского края от 16.08.2012 </w:t>
      </w:r>
      <w:hyperlink r:id="rId5" w:history="1">
        <w:r>
          <w:rPr>
            <w:color w:val="0000FF"/>
          </w:rPr>
          <w:t>N 353</w:t>
        </w:r>
      </w:hyperlink>
      <w:r>
        <w:t xml:space="preserve">, от 21.02.2013 </w:t>
      </w:r>
      <w:hyperlink r:id="rId6" w:history="1">
        <w:r>
          <w:rPr>
            <w:color w:val="0000FF"/>
          </w:rPr>
          <w:t>N 709</w:t>
        </w:r>
      </w:hyperlink>
      <w:r>
        <w:t>,</w:t>
      </w:r>
    </w:p>
    <w:p w:rsidR="00C85BB6" w:rsidRDefault="00C85BB6">
      <w:pPr>
        <w:pStyle w:val="ConsPlusNormal"/>
        <w:jc w:val="center"/>
      </w:pPr>
      <w:r>
        <w:t xml:space="preserve">от 18.04.2013 </w:t>
      </w:r>
      <w:hyperlink r:id="rId7" w:history="1">
        <w:r>
          <w:rPr>
            <w:color w:val="0000FF"/>
          </w:rPr>
          <w:t>N 781</w:t>
        </w:r>
      </w:hyperlink>
      <w:r>
        <w:t>)</w:t>
      </w:r>
    </w:p>
    <w:p w:rsidR="00C85BB6" w:rsidRDefault="00C85BB6">
      <w:pPr>
        <w:pStyle w:val="ConsPlusNormal"/>
        <w:jc w:val="center"/>
      </w:pPr>
    </w:p>
    <w:p w:rsidR="00C85BB6" w:rsidRDefault="00C85BB6">
      <w:pPr>
        <w:pStyle w:val="ConsPlusNormal"/>
        <w:ind w:firstLine="540"/>
        <w:jc w:val="both"/>
      </w:pPr>
      <w:r>
        <w:t>Законодательное Собрание Пермского края постановляет: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  <w:r>
        <w:t xml:space="preserve">1. Утвердить перечень показателей результативности деятельности Правительства Пермского края и их числовые значения согласно </w:t>
      </w:r>
      <w:hyperlink w:anchor="P40" w:history="1">
        <w:r>
          <w:rPr>
            <w:color w:val="0000FF"/>
          </w:rPr>
          <w:t>приложению 1</w:t>
        </w:r>
      </w:hyperlink>
      <w:r>
        <w:t xml:space="preserve"> к настоящему Постановлению.</w:t>
      </w:r>
    </w:p>
    <w:p w:rsidR="00C85BB6" w:rsidRDefault="00C85BB6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 Пермского края от 16.08.2012 N 353)</w:t>
      </w:r>
    </w:p>
    <w:p w:rsidR="00C85BB6" w:rsidRDefault="00C85BB6">
      <w:pPr>
        <w:pStyle w:val="ConsPlusNormal"/>
        <w:ind w:firstLine="540"/>
        <w:jc w:val="both"/>
      </w:pPr>
      <w:r>
        <w:t>2. Рекомендовать губернатору Пермского края использовать показатели как форму представления ежегодного отчета губернатора Пермского края в Законодательное Собрание Пермского края.</w:t>
      </w:r>
    </w:p>
    <w:p w:rsidR="00C85BB6" w:rsidRDefault="00C85BB6">
      <w:pPr>
        <w:pStyle w:val="ConsPlusNormal"/>
        <w:ind w:firstLine="540"/>
        <w:jc w:val="both"/>
      </w:pPr>
      <w:r>
        <w:t>3. Рекомендовать Правительству Пермского края ежегодно в срок до 1 июня представлять Законодательному Собранию информацию о значениях показателей за предшествующий год и причинах их отклонения от утвержденных значений.</w:t>
      </w:r>
    </w:p>
    <w:p w:rsidR="00C85BB6" w:rsidRDefault="00C85BB6">
      <w:pPr>
        <w:pStyle w:val="ConsPlusNormal"/>
        <w:jc w:val="both"/>
      </w:pPr>
      <w:r>
        <w:t xml:space="preserve">(п. 3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 Пермского края от 16.08.2012 N 353)</w:t>
      </w:r>
    </w:p>
    <w:p w:rsidR="00C85BB6" w:rsidRDefault="00C85BB6">
      <w:pPr>
        <w:pStyle w:val="ConsPlusNormal"/>
        <w:ind w:firstLine="540"/>
        <w:jc w:val="both"/>
      </w:pPr>
      <w:r>
        <w:t xml:space="preserve">4. Утвердить </w:t>
      </w:r>
      <w:hyperlink w:anchor="P730" w:history="1">
        <w:r>
          <w:rPr>
            <w:color w:val="0000FF"/>
          </w:rPr>
          <w:t>Методику</w:t>
        </w:r>
      </w:hyperlink>
      <w:r>
        <w:t xml:space="preserve"> оценки уровня достижения стратегических показателей социально-экономического развития Пермского края согласно приложению 2 к настоящему Постановлению.</w:t>
      </w:r>
    </w:p>
    <w:p w:rsidR="00C85BB6" w:rsidRDefault="00C85BB6">
      <w:pPr>
        <w:pStyle w:val="ConsPlusNormal"/>
        <w:jc w:val="both"/>
      </w:pPr>
      <w:r>
        <w:t xml:space="preserve">(п. 4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 Пермского края от 16.08.2012 N 353)</w:t>
      </w:r>
    </w:p>
    <w:p w:rsidR="00C85BB6" w:rsidRDefault="00C85BB6">
      <w:pPr>
        <w:pStyle w:val="ConsPlusNormal"/>
        <w:ind w:firstLine="540"/>
        <w:jc w:val="both"/>
      </w:pPr>
      <w:r>
        <w:t>5. Контроль за исполнением постановления возложить на комитет Законодательного Собрания по государственной политике и развитию территорий (Бойченко А.Ю.) и комитет Законодательного Собрания по экономическому развитию и налогам (Гилязова Е.Е.).</w:t>
      </w:r>
    </w:p>
    <w:p w:rsidR="00C85BB6" w:rsidRDefault="00C85BB6">
      <w:pPr>
        <w:pStyle w:val="ConsPlusNormal"/>
        <w:jc w:val="both"/>
      </w:pPr>
      <w:r>
        <w:t xml:space="preserve">(п. 5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 Пермского края от 16.08.2012 N 353)</w:t>
      </w:r>
    </w:p>
    <w:p w:rsidR="00C85BB6" w:rsidRDefault="00C85BB6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6</w:t>
        </w:r>
      </w:hyperlink>
      <w:r>
        <w:t>. Настоящее Постановление вступает в силу со дня его принятия.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right"/>
      </w:pPr>
      <w:r>
        <w:t>Председатель</w:t>
      </w:r>
    </w:p>
    <w:p w:rsidR="00C85BB6" w:rsidRDefault="00C85BB6">
      <w:pPr>
        <w:pStyle w:val="ConsPlusNormal"/>
        <w:jc w:val="right"/>
      </w:pPr>
      <w:r>
        <w:t>Законодательного Собрания</w:t>
      </w:r>
    </w:p>
    <w:p w:rsidR="00C85BB6" w:rsidRDefault="00C85BB6">
      <w:pPr>
        <w:pStyle w:val="ConsPlusNormal"/>
        <w:jc w:val="right"/>
      </w:pPr>
      <w:r>
        <w:t>Н.А.ДЕВЯТКИН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right"/>
      </w:pPr>
      <w:r>
        <w:t>Приложение 1</w:t>
      </w:r>
    </w:p>
    <w:p w:rsidR="00C85BB6" w:rsidRDefault="00C85BB6">
      <w:pPr>
        <w:pStyle w:val="ConsPlusNormal"/>
        <w:jc w:val="right"/>
      </w:pPr>
      <w:r>
        <w:t>к Постановлению</w:t>
      </w:r>
    </w:p>
    <w:p w:rsidR="00C85BB6" w:rsidRDefault="00C85BB6">
      <w:pPr>
        <w:pStyle w:val="ConsPlusNormal"/>
        <w:jc w:val="right"/>
      </w:pPr>
      <w:r>
        <w:t>Законодательного Собрания</w:t>
      </w:r>
    </w:p>
    <w:p w:rsidR="00C85BB6" w:rsidRDefault="00C85BB6">
      <w:pPr>
        <w:pStyle w:val="ConsPlusNormal"/>
        <w:jc w:val="right"/>
      </w:pPr>
      <w:r>
        <w:t>Пермского края</w:t>
      </w:r>
    </w:p>
    <w:p w:rsidR="00C85BB6" w:rsidRDefault="00C85BB6">
      <w:pPr>
        <w:pStyle w:val="ConsPlusNormal"/>
        <w:jc w:val="right"/>
      </w:pPr>
      <w:r>
        <w:t>от 22.09.2011 N 2868</w:t>
      </w:r>
    </w:p>
    <w:p w:rsidR="00C85BB6" w:rsidRDefault="00C85BB6">
      <w:pPr>
        <w:pStyle w:val="ConsPlusNormal"/>
        <w:jc w:val="right"/>
      </w:pPr>
    </w:p>
    <w:p w:rsidR="00C85BB6" w:rsidRDefault="00C85BB6">
      <w:pPr>
        <w:pStyle w:val="ConsPlusTitle"/>
        <w:jc w:val="center"/>
      </w:pPr>
      <w:bookmarkStart w:id="0" w:name="P40"/>
      <w:bookmarkEnd w:id="0"/>
      <w:r>
        <w:t>ЦЕЛЕВЫЕ ПОКАЗАТЕЛИ</w:t>
      </w:r>
    </w:p>
    <w:p w:rsidR="00C85BB6" w:rsidRDefault="00C85BB6">
      <w:pPr>
        <w:pStyle w:val="ConsPlusTitle"/>
        <w:jc w:val="center"/>
      </w:pPr>
      <w:r>
        <w:t>РЕЗУЛЬТАТИВНОСТИ ДЕЯТЕЛЬНОСТИ ПРАВИТЕЛЬСТВА ПЕРМСКОГО КРАЯ</w:t>
      </w:r>
    </w:p>
    <w:p w:rsidR="00C85BB6" w:rsidRDefault="00C85BB6">
      <w:pPr>
        <w:pStyle w:val="ConsPlusNormal"/>
        <w:jc w:val="center"/>
      </w:pPr>
      <w:r>
        <w:t>Список изменяющих документов</w:t>
      </w:r>
    </w:p>
    <w:p w:rsidR="00C85BB6" w:rsidRDefault="00C85BB6">
      <w:pPr>
        <w:pStyle w:val="ConsPlusNormal"/>
        <w:jc w:val="center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</w:t>
      </w:r>
    </w:p>
    <w:p w:rsidR="00C85BB6" w:rsidRDefault="00C85BB6">
      <w:pPr>
        <w:pStyle w:val="ConsPlusNormal"/>
        <w:jc w:val="center"/>
      </w:pPr>
      <w:r>
        <w:lastRenderedPageBreak/>
        <w:t>Пермского края от 21.02.2013 N 709)</w:t>
      </w:r>
    </w:p>
    <w:p w:rsidR="00C85BB6" w:rsidRDefault="00C85BB6">
      <w:pPr>
        <w:pStyle w:val="ConsPlusNormal"/>
        <w:jc w:val="center"/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0"/>
        <w:gridCol w:w="1848"/>
        <w:gridCol w:w="1092"/>
        <w:gridCol w:w="1092"/>
        <w:gridCol w:w="1092"/>
        <w:gridCol w:w="1092"/>
        <w:gridCol w:w="1092"/>
        <w:gridCol w:w="1176"/>
      </w:tblGrid>
      <w:tr w:rsidR="00C85BB6">
        <w:trPr>
          <w:trHeight w:val="160"/>
        </w:trPr>
        <w:tc>
          <w:tcPr>
            <w:tcW w:w="420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N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п/п</w:t>
            </w:r>
          </w:p>
        </w:tc>
        <w:tc>
          <w:tcPr>
            <w:tcW w:w="1848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Целевой показатель </w:t>
            </w:r>
          </w:p>
        </w:tc>
        <w:tc>
          <w:tcPr>
            <w:tcW w:w="1092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2011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(</w:t>
            </w:r>
            <w:proofErr w:type="gramStart"/>
            <w:r>
              <w:rPr>
                <w:sz w:val="14"/>
              </w:rPr>
              <w:t xml:space="preserve">факт)   </w:t>
            </w:r>
            <w:proofErr w:type="gramEnd"/>
          </w:p>
        </w:tc>
        <w:tc>
          <w:tcPr>
            <w:tcW w:w="1092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2012 (план)</w:t>
            </w:r>
          </w:p>
        </w:tc>
        <w:tc>
          <w:tcPr>
            <w:tcW w:w="1092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2013 (план)</w:t>
            </w:r>
          </w:p>
        </w:tc>
        <w:tc>
          <w:tcPr>
            <w:tcW w:w="1092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2014 (план)</w:t>
            </w:r>
          </w:p>
        </w:tc>
        <w:tc>
          <w:tcPr>
            <w:tcW w:w="1092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2015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(</w:t>
            </w:r>
            <w:proofErr w:type="gramStart"/>
            <w:r>
              <w:rPr>
                <w:sz w:val="14"/>
              </w:rPr>
              <w:t xml:space="preserve">план)   </w:t>
            </w:r>
            <w:proofErr w:type="gramEnd"/>
          </w:p>
        </w:tc>
        <w:tc>
          <w:tcPr>
            <w:tcW w:w="1176" w:type="dxa"/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2016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(</w:t>
            </w:r>
            <w:proofErr w:type="gramStart"/>
            <w:r>
              <w:rPr>
                <w:sz w:val="14"/>
              </w:rPr>
              <w:t xml:space="preserve">план)   </w:t>
            </w:r>
            <w:proofErr w:type="gramEnd"/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 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    2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4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6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7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8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СОЦИАЛЬНАЯ ПОЛИТИКА                         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Численность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постоянного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на начало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года, чел.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2633550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2631073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2630168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2630460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2631419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2632907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Ожидаемая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продолжительность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жизни, лет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67,8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68,6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69,4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70,2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71,0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72,0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Число родившихся за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период с начала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года, чел.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37015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37496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37758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38022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38288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38422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Общее число умерших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 период с начала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года, чел.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38685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38511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38126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38063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38000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37960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Миграционный прирост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населения, чел.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-807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110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660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1500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Коэффициент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младенческой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смертности (число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умерших в возрасте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 1 года на 1000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родившихся живыми),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промилле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7,8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Число умерших в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трудоспособном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возрасте, чел.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11693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11500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11300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11150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11050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11000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Число умерших от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болезней системы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кровообращения в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трудоспособном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возрасте, чел.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3890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3820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3790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3748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3695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3650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Число умерших от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новообразований в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трудоспособном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возрасте, чел.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1307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1293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1285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1279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1274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Численность лиц,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впервые признанных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инвалидами 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трудоспособном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возрасте, чел.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7753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7745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7730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7715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7690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Смертность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трудоспособного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от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алкогольных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отравлений, случаев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 100 тыс.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16,3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16,0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15,1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14,8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Смертность населения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 туберкулеза,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случаев на 100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тыс. населения (без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учета заболеваемости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 учреждениях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уголовно-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исправительной      </w:t>
            </w:r>
          </w:p>
          <w:p w:rsidR="00C85BB6" w:rsidRDefault="00C85BB6">
            <w:pPr>
              <w:pStyle w:val="ConsPlusNonformat"/>
              <w:jc w:val="both"/>
            </w:pPr>
            <w:proofErr w:type="gramStart"/>
            <w:r>
              <w:rPr>
                <w:sz w:val="14"/>
              </w:rPr>
              <w:t xml:space="preserve">системы)   </w:t>
            </w:r>
            <w:proofErr w:type="gramEnd"/>
            <w:r>
              <w:rPr>
                <w:sz w:val="14"/>
              </w:rPr>
              <w:t xml:space="preserve">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14,7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14,1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13,5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12,9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Смертность населения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(без показателя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смертности от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внешних причин),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умерших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 100 тыс. чел.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1277,0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1258,8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1246,3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1230,2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1229,7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1209,6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Удовлетворенность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медицинской помощью,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от числа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опрошенных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46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47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65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70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15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профилактических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посещений от общего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числа посещений, %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32,1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39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41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Доля государственных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краевых учреждений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здравоохранения,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имеющих лицензию, от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числа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краевых учреждений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здравоохранения,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подлежащих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лицензированию, %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99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Отношение средней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врачей к средней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плате 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Пермском крае, %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91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110,02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138,2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163,7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184,6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Дефицит краевого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бюджета к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федеральному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нормативу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финансирования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Программы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гарантий, %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17,6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0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0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Доля детей школьного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возраста, посещающих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занятия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физкультурно-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оздоровительных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групп и спортивных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секций, в общем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количестве детей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соответствующего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возраста, %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70,1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71,5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72,5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74,0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75,0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76,5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Уровень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обеспеченности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спортивными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сооружениями исходя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из их единовременной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пропускной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способности, %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25,5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26,2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26,7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27,3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населения,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систематически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занимающегося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физической культурой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 спортом, %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16,25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19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21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22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детей 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возрасте от 3 до 7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лет, стоящих в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очереди для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определения в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дошкольные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образовательные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учреждения, %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0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Отношение средней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педагогических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работников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дошкольных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образовательных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учреждений к средней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плате 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сфере общего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образования в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Пермском крае, %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Превышение среднего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балла по всем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предметам ЕГЭ в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Пермском крае по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аналогичному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показателю 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Российской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Федерации, ед.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4,0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выпускников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(муниципальных)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общеобразовательных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учреждений, не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сдавших единый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государственный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экзамен, в общей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численности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выпускников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(муниципальных)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общеобразовательных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учреждений, %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    2,6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2,9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2,6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26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учащихся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Пермского края,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ставших победителями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 призерами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всероссийских и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международных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олимпиад и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конкурсов, от общего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количества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участников, %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37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39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42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45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студентов,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поступивших в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пермские вузы с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количеством баллов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225 и выше по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результатам ЕГЭ,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чел.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1097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1270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1350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1430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общеобразовательных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учреждений, имеющих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лицензии на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образовательную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деятельность, %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89,0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90,5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97,0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99,0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29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Отношение средней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педагогических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работников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образовательных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учреждений общего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образования к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средней заработной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плате в Пермском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крае, %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98,71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публикаций статей 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изданиях, входящих в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международные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системы цитирования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Web of Science,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SCOPUS,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подготовленных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пермскими учеными 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течение года, ед.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163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250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320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450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научных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исследований,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проводимых 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партнерстве с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ведущими зарубежными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учеными, ед.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45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50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детей,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ставших дипломантами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 лауреатами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международных и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всероссийских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конкурсов, чел.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22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26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27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29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30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Объем туристического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потока в Пермском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крае, внутренний и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внешний туризм,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лица, размещенные 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гостиницах, отелях 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других видах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коллективных средств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размещения, чел.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486353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500944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525991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552291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579906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608901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Отношение средней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работников культуры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к средней заработной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плате в Пермском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крае, %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43,4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43,4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43,8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43,8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43,8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43,8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35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многодетных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семей, обеспеченных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земельными участками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 собственность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бесплатно, от числа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многодетных семей,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поставленных на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учет, %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-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60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65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детей-сирот,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детей, оставшихся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без попечения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родителей,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находящихся в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семейных формах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устройства, %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94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Отношение средней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работников краевых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учреждений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социального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обслуживания и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образования для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детей-сирот и детей,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оставшихся без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попечения родителей,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к средней заработной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плате в Пермском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крае, %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51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51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51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51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51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51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Доля государственных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краевых учреждений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социального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обслуживания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и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образования для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детей-сирот и детей,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оставшихся без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попечения родителей,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имеющих лицензию по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основным видам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деятельности, от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числа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государственных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краевых учреждений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такого типа,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подлежащих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лицензированию, %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87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ОБЩЕСТВЕННАЯ БЕЗОПАСНОСТЬ                   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39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Снижение доли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преступлений,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совершенных в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общественных местах,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18,7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23,9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21,1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19,7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18,2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Уровень преступности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 10 тыс.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населения, ед.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221,6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221,0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210,5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206,5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202,6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198,7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Численность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несовершеннолетних,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совершивших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преступления, чел.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2093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1990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1975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1960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1945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1930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Уровень смертности в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результате ДТП, чел.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 100 тыс.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21,7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21,0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19,1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18,5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ЭКОНОМИЧЕСКАЯ ПОЛИТИКА                      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Прибыль до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налогообложения,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млн. руб.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174800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189506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197672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211911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228026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241708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Прибыль до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налогообложения без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отраслей калийного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производства,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нефтедобычи и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нефтепереработки,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млн. руб.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74380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77697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84999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95360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107172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114674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Фонд начисленной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заработной платы по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полному кругу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организаций за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период с начала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отчетного года, млн.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руб.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  204414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232532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262761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294292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335494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362334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46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Среднемесячная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номинальная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начисленная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заработная плата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работников, занятых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 сфере экономики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региона, руб.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21191,7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23325,6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26591,2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30048,0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33653,9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36346,2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Численность занятых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 частном секторе,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тыс. чел.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н/д &lt;1&gt;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708,6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687,4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694,3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701,2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708,2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Уровень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регистрируемой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безработицы (в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среднем за год), % к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экономически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активному населению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1,6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1,6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49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Поступление в бюджет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Пермского края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налоговых доходов,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млн. руб.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57532,8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69498,9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77542,4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90494,6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98443,7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104350,3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сельскохозяйственной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продукции местного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производства в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расходах населения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на продукты питания,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13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зарегистрированных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субъектов малого и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среднего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предпринимательства,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ед.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132228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137000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141900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147000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152200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157500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конкурентоспособных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сельскохозяйственных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предприятий, %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52,8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85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90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Объем инвестиций по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полному кругу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предприятий, млн.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руб.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133921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149850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163330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179650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195790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209495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вновь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созданных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технологических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стартапов, ед.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75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80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инвестиционных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проектов,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реализованных при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участии ОАО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"Агентство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содействия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инвестициям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Пермского края",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ед./размер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инвестиций ОАО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"Агентство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содействия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инвестициям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Пермского края" в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проекты, млн. руб.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0/0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0/0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0/0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4/400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5/400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4/400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Объем федеральных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финансовых средств,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привлекаемых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Правительством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Пермского края, % от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объема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федеральных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финансовых средств,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направляемых на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развитие субъектов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Российской Федерации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Оборот продукции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(услуг),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производимой малыми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предприятиями, в том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числе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микропредприятиями,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 индивидуальными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предпринимателями,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тыс. руб.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>661943299,3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732109289,0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809712873,7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895542438,3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990469936,7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1095459750,0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58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Реальные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располагаемые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денежные доходы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населения, %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97,3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99,1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98,4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99,2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99,0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59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Объем налоговых 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неналоговых доходов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консолидированного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бюджета субъекта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Российской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Федерации, тыс. руб.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94565572,2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103048195,9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108354878,9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115946782,0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122453802,8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ПРИРОДОПОЛЬЗОВАНИЕ И ИНФРАСТРУКТУРА         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Ввод общей площади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жилья в субъекте,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тыс. кв. м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748,79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880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1000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1300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1500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Удельный вес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введенной общей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площади жилых домов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по отношению к общей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площади жилищного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фонда, %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2,2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2,5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Ограничение роста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совокупной платы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граждан за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коммунальные услуги,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12,1%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Не выше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уровня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инфляции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Не выше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уровня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инфляции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Не выше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уровня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инфляции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Не выше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уровня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инфляции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Не выше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уровня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инфляции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Общая площадь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расселенного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аварийного и ветхого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жилищного фонда в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рамках реализуемых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 территории края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программ, тыс. кв. м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35,3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автомобильных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дорог регионального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значения,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соответствующих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нормативным и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допустимым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требованиям к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транспортно-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эксплуатационным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показателям по сети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автомобильных дорог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пользования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регионального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значения, %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24,8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25,0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автомобильных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дорог местного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значения,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соответствующих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нормативным и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допустимым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требованиям к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транспортно-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эксплуатационным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показателям по сети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автомобильных дорог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пользования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местного значения, %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45,0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45,7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47,5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49,1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51,0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61,0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отходов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потребления,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направляемых на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переработку с целью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извлечения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вторичного сырья, от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массы образующихся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твердых бытовых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отходов, %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2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40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40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населенных пунктов,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газифицированных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природным газом, ед.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322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330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344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358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366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380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68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населения,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обеспеченного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питьевой водой,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отвечающей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требованиям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санитарного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законодательства, %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   85,9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87,5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87,9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88,3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69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Покрытие сотовой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связью территории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Пермского края в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местах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жизнедеятельности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(в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границах поселения),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91,4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92,4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93,4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94,4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95,4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96,5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Покрытие территории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Пермского края сетью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"Интернет" в местах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жизнедеятельности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населения (в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границах поселения),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93,3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94,3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96,3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97,3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98,3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Плата за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использование лесов,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млн. руб.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264,748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176,8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194,9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214,1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235,27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258,7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субъектов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хозяйственной и иной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деятельности, не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превышающих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нормативы предельно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допустимых выбросов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загрязняющих веществ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(от стационарных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источников), от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общего количества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субъектов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хозяйственной и иной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деятельности, с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установленными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нормативами выбросов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загрязняющих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веществ, %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82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86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94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97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Доля лесных пожаров,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ликвидированных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(локализованных) 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течение суток, %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78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87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90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92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92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Предотвращение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потенциального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ущерба от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негативного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воздействия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поверхностных вод и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аварий на ГТС, млн.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руб.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522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1026,5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1258,3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1424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1538,7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1670,0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УПРАВЛЕНИЕ ЗЕМЕЛЬНЫМИ РЕСУРСАМИ И ИМУЩЕСТВОМ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75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Поступление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земельного налога,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арендной платы за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землю и доходов от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продажи земельных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участков в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консолидированный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бюджет Пермского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края, млн. руб.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6348,6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6674,8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7274,0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7943,2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8888,4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10186,2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</w:p>
        </w:tc>
        <w:tc>
          <w:tcPr>
            <w:tcW w:w="8484" w:type="dxa"/>
            <w:gridSpan w:val="7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ТЕРРИТОРИАЛЬНОЕ РАЗВИТИЕ                                                                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76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Количество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муниципальных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районов, городских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округов с индексом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обеспеченности более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43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35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36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39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39 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39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77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Индекс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обеспеченности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бюджетов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муниципальных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районов, городских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округов (собственные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доходы бюджетов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муниципальных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районов, городских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округов / текущие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расходы </w:t>
            </w:r>
            <w:proofErr w:type="gramStart"/>
            <w:r>
              <w:rPr>
                <w:sz w:val="14"/>
              </w:rPr>
              <w:t xml:space="preserve">бюджетов)   </w:t>
            </w:r>
            <w:proofErr w:type="gramEnd"/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   1,25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1,26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1,26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1,28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1,28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1,28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78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расходов на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содержание органов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местного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самоуправления края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 общем объеме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расходов, </w:t>
            </w:r>
            <w:proofErr w:type="gramStart"/>
            <w:r>
              <w:rPr>
                <w:sz w:val="14"/>
              </w:rPr>
              <w:t xml:space="preserve">%:   </w:t>
            </w:r>
            <w:proofErr w:type="gramEnd"/>
            <w:r>
              <w:rPr>
                <w:sz w:val="14"/>
              </w:rPr>
              <w:t xml:space="preserve">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7,0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6,2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6,2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79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муниципальных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районов, %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5,9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5,5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5,0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80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городских округов, %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5,1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5,1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81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городских поселений,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12,3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12,0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11,7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11,5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11,5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82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сельских поселений,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22,8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22,6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22,4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22,2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20,0 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20,0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83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Освоение средств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фонда 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софинансирования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расходов 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(перечислено в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муниципальные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бюджеты от объемов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субсидий, 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утвержденных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постановлениями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>Правительства края),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%           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76,1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95,00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 95     </w:t>
            </w:r>
          </w:p>
        </w:tc>
      </w:tr>
      <w:tr w:rsidR="00C85BB6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84 </w:t>
            </w:r>
          </w:p>
        </w:tc>
        <w:tc>
          <w:tcPr>
            <w:tcW w:w="1848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Доля граждан,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удовлетворенных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имеющимися   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возможностями 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реализации своих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этнокультурных      </w:t>
            </w:r>
          </w:p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потребностей, %  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85,60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85,70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86,00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87,00   </w:t>
            </w:r>
          </w:p>
        </w:tc>
        <w:tc>
          <w:tcPr>
            <w:tcW w:w="1092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87,00   </w:t>
            </w:r>
          </w:p>
        </w:tc>
        <w:tc>
          <w:tcPr>
            <w:tcW w:w="1176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rPr>
                <w:sz w:val="14"/>
              </w:rPr>
              <w:t xml:space="preserve">    87,0    </w:t>
            </w:r>
          </w:p>
        </w:tc>
      </w:tr>
    </w:tbl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right"/>
      </w:pPr>
    </w:p>
    <w:p w:rsidR="00C85BB6" w:rsidRDefault="00C85BB6">
      <w:pPr>
        <w:pStyle w:val="ConsPlusNormal"/>
        <w:jc w:val="right"/>
      </w:pPr>
      <w:r>
        <w:t>Приложение 2</w:t>
      </w:r>
    </w:p>
    <w:p w:rsidR="00C85BB6" w:rsidRDefault="00C85BB6">
      <w:pPr>
        <w:pStyle w:val="ConsPlusNormal"/>
        <w:jc w:val="right"/>
      </w:pPr>
      <w:r>
        <w:t>к Постановлению</w:t>
      </w:r>
    </w:p>
    <w:p w:rsidR="00C85BB6" w:rsidRDefault="00C85BB6">
      <w:pPr>
        <w:pStyle w:val="ConsPlusNormal"/>
        <w:jc w:val="right"/>
      </w:pPr>
      <w:r>
        <w:t>Законодательного Собрания</w:t>
      </w:r>
    </w:p>
    <w:p w:rsidR="00C85BB6" w:rsidRDefault="00C85BB6">
      <w:pPr>
        <w:pStyle w:val="ConsPlusNormal"/>
        <w:jc w:val="right"/>
      </w:pPr>
      <w:r>
        <w:t>Пермского края</w:t>
      </w:r>
    </w:p>
    <w:p w:rsidR="00C85BB6" w:rsidRDefault="00C85BB6">
      <w:pPr>
        <w:pStyle w:val="ConsPlusNormal"/>
        <w:jc w:val="right"/>
      </w:pPr>
      <w:r>
        <w:t>от 22.09.2011 N 2868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Title"/>
        <w:jc w:val="center"/>
      </w:pPr>
      <w:bookmarkStart w:id="1" w:name="P730"/>
      <w:bookmarkEnd w:id="1"/>
      <w:r>
        <w:t>МЕТОДИКА</w:t>
      </w:r>
    </w:p>
    <w:p w:rsidR="00C85BB6" w:rsidRDefault="00C85BB6">
      <w:pPr>
        <w:pStyle w:val="ConsPlusTitle"/>
        <w:jc w:val="center"/>
      </w:pPr>
      <w:r>
        <w:t>ОЦЕНКИ УРОВНЯ ДОСТИЖЕНИЯ СТРАТЕГИЧЕСКИХ ПОКАЗАТЕЛЕЙ</w:t>
      </w:r>
    </w:p>
    <w:p w:rsidR="00C85BB6" w:rsidRDefault="00C85BB6">
      <w:pPr>
        <w:pStyle w:val="ConsPlusTitle"/>
        <w:jc w:val="center"/>
      </w:pPr>
      <w:r>
        <w:t>СОЦИАЛЬНО-ЭКОНОМИЧЕСКОГО РАЗВИТИЯ ПЕРМСКОГО КРАЯ</w:t>
      </w:r>
    </w:p>
    <w:p w:rsidR="00C85BB6" w:rsidRDefault="00C85BB6">
      <w:pPr>
        <w:pStyle w:val="ConsPlusNormal"/>
        <w:jc w:val="center"/>
      </w:pPr>
      <w:r>
        <w:t>Список изменяющих документов</w:t>
      </w:r>
    </w:p>
    <w:p w:rsidR="00C85BB6" w:rsidRDefault="00C85BB6">
      <w:pPr>
        <w:pStyle w:val="ConsPlusNormal"/>
        <w:jc w:val="center"/>
      </w:pPr>
      <w:r>
        <w:t xml:space="preserve">(введена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</w:t>
      </w:r>
    </w:p>
    <w:p w:rsidR="00C85BB6" w:rsidRDefault="00C85BB6">
      <w:pPr>
        <w:pStyle w:val="ConsPlusNormal"/>
        <w:jc w:val="center"/>
      </w:pPr>
      <w:r>
        <w:t>Пермского края от 16.08.2012 N 353;</w:t>
      </w:r>
    </w:p>
    <w:p w:rsidR="00C85BB6" w:rsidRDefault="00C85BB6">
      <w:pPr>
        <w:pStyle w:val="ConsPlusNormal"/>
        <w:jc w:val="center"/>
      </w:pPr>
      <w:r>
        <w:t xml:space="preserve">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</w:t>
      </w:r>
    </w:p>
    <w:p w:rsidR="00C85BB6" w:rsidRDefault="00C85BB6">
      <w:pPr>
        <w:pStyle w:val="ConsPlusNormal"/>
        <w:jc w:val="center"/>
      </w:pPr>
      <w:r>
        <w:t>Пермского края от 18.04.2013 N 781)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  <w:r>
        <w:t xml:space="preserve">1. Настоящая Методика определяет порядок проведения ежегодной оценки уровня достижения стратегических показателей социально-экономического развития Пермского края, включенных в </w:t>
      </w:r>
      <w:hyperlink w:anchor="P40" w:history="1">
        <w:r>
          <w:rPr>
            <w:color w:val="0000FF"/>
          </w:rPr>
          <w:t>приложение 1</w:t>
        </w:r>
      </w:hyperlink>
      <w:r>
        <w:t xml:space="preserve"> настоящего Постановления, и результативности деятельности по их достижению.</w:t>
      </w:r>
    </w:p>
    <w:p w:rsidR="00C85BB6" w:rsidRDefault="00C85BB6">
      <w:pPr>
        <w:pStyle w:val="ConsPlusNormal"/>
        <w:ind w:firstLine="540"/>
        <w:jc w:val="both"/>
      </w:pPr>
      <w:bookmarkStart w:id="2" w:name="P740"/>
      <w:bookmarkEnd w:id="2"/>
      <w:r>
        <w:t>2. Оценка уровня достижения стратегических показателей осуществляется ежегодно путем сопоставления фактических и утвержденных настоящим Постановлением (плановых) значений по каждому показателю за анализируемый период и расчета коэффициента относительного отклонения фактического значения показателя от планового по формуле: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nformat"/>
        <w:jc w:val="both"/>
      </w:pPr>
      <w:r>
        <w:t xml:space="preserve">                                     П</w:t>
      </w:r>
    </w:p>
    <w:p w:rsidR="00C85BB6" w:rsidRDefault="00C85BB6">
      <w:pPr>
        <w:pStyle w:val="ConsPlusNonformat"/>
        <w:jc w:val="both"/>
      </w:pPr>
      <w:r>
        <w:lastRenderedPageBreak/>
        <w:t xml:space="preserve">                                      1</w:t>
      </w:r>
    </w:p>
    <w:p w:rsidR="00C85BB6" w:rsidRDefault="00C85BB6">
      <w:pPr>
        <w:pStyle w:val="ConsPlusNonformat"/>
        <w:jc w:val="both"/>
      </w:pPr>
      <w:r>
        <w:t xml:space="preserve">                               </w:t>
      </w:r>
      <w:proofErr w:type="gramStart"/>
      <w:r>
        <w:t>У  =</w:t>
      </w:r>
      <w:proofErr w:type="gramEnd"/>
      <w:r>
        <w:t xml:space="preserve"> ---- - 1,</w:t>
      </w:r>
    </w:p>
    <w:p w:rsidR="00C85BB6" w:rsidRDefault="00C85BB6">
      <w:pPr>
        <w:pStyle w:val="ConsPlusNonformat"/>
        <w:jc w:val="both"/>
      </w:pPr>
      <w:r>
        <w:t xml:space="preserve">                                П    П</w:t>
      </w:r>
    </w:p>
    <w:p w:rsidR="00C85BB6" w:rsidRDefault="00C85BB6">
      <w:pPr>
        <w:pStyle w:val="ConsPlusNonformat"/>
        <w:jc w:val="both"/>
      </w:pPr>
      <w:r>
        <w:t xml:space="preserve">                                      0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  <w:r>
        <w:t>где:</w:t>
      </w:r>
    </w:p>
    <w:p w:rsidR="00C85BB6" w:rsidRDefault="00C85BB6">
      <w:pPr>
        <w:pStyle w:val="ConsPlusNonformat"/>
        <w:jc w:val="both"/>
      </w:pPr>
      <w:r>
        <w:t xml:space="preserve">    </w:t>
      </w:r>
      <w:proofErr w:type="gramStart"/>
      <w:r>
        <w:t>у  -</w:t>
      </w:r>
      <w:proofErr w:type="gramEnd"/>
      <w:r>
        <w:t xml:space="preserve"> коэффициент    отклонения,    определяющий    уровень   достижения</w:t>
      </w:r>
    </w:p>
    <w:p w:rsidR="00C85BB6" w:rsidRDefault="00C85BB6">
      <w:pPr>
        <w:pStyle w:val="ConsPlusNonformat"/>
        <w:jc w:val="both"/>
      </w:pPr>
      <w:r>
        <w:t xml:space="preserve">     П</w:t>
      </w:r>
    </w:p>
    <w:p w:rsidR="00C85BB6" w:rsidRDefault="00C85BB6">
      <w:pPr>
        <w:pStyle w:val="ConsPlusNonformat"/>
        <w:jc w:val="both"/>
      </w:pPr>
      <w:r>
        <w:t>утвержденного показателя;</w:t>
      </w:r>
    </w:p>
    <w:p w:rsidR="00C85BB6" w:rsidRDefault="00C85BB6">
      <w:pPr>
        <w:pStyle w:val="ConsPlusNonformat"/>
        <w:jc w:val="both"/>
      </w:pPr>
      <w:r>
        <w:t xml:space="preserve">    </w:t>
      </w:r>
      <w:proofErr w:type="gramStart"/>
      <w:r>
        <w:t>П  -</w:t>
      </w:r>
      <w:proofErr w:type="gramEnd"/>
      <w:r>
        <w:t xml:space="preserve"> утвержденное значение показателя;</w:t>
      </w:r>
    </w:p>
    <w:p w:rsidR="00C85BB6" w:rsidRDefault="00C85BB6">
      <w:pPr>
        <w:pStyle w:val="ConsPlusNonformat"/>
        <w:jc w:val="both"/>
      </w:pPr>
      <w:r>
        <w:t xml:space="preserve">     0</w:t>
      </w:r>
    </w:p>
    <w:p w:rsidR="00C85BB6" w:rsidRDefault="00C85BB6">
      <w:pPr>
        <w:pStyle w:val="ConsPlusNonformat"/>
        <w:jc w:val="both"/>
      </w:pPr>
      <w:r>
        <w:t xml:space="preserve">    </w:t>
      </w:r>
      <w:proofErr w:type="gramStart"/>
      <w:r>
        <w:t>П  -</w:t>
      </w:r>
      <w:proofErr w:type="gramEnd"/>
      <w:r>
        <w:t xml:space="preserve"> фактическое значение показателя.</w:t>
      </w:r>
    </w:p>
    <w:p w:rsidR="00C85BB6" w:rsidRDefault="00C85BB6">
      <w:pPr>
        <w:pStyle w:val="ConsPlusNonformat"/>
        <w:jc w:val="both"/>
      </w:pPr>
      <w:r>
        <w:t xml:space="preserve">     1</w:t>
      </w:r>
    </w:p>
    <w:p w:rsidR="00C85BB6" w:rsidRDefault="00C85BB6">
      <w:pPr>
        <w:pStyle w:val="ConsPlusNormal"/>
        <w:ind w:firstLine="540"/>
        <w:jc w:val="both"/>
      </w:pPr>
      <w:r>
        <w:t xml:space="preserve">3. В целях проведения анализа полученных значений коэффициента отклонения утвержденные показатели делятся на две группы согласно </w:t>
      </w:r>
      <w:hyperlink w:anchor="P774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1005" w:history="1">
        <w:r>
          <w:rPr>
            <w:color w:val="0000FF"/>
          </w:rPr>
          <w:t>2</w:t>
        </w:r>
      </w:hyperlink>
      <w:r>
        <w:t xml:space="preserve"> к настоящей Методике:</w:t>
      </w:r>
    </w:p>
    <w:p w:rsidR="00C85BB6" w:rsidRDefault="00C85BB6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 Пермского края от 18.04.2013 N 781)</w:t>
      </w:r>
    </w:p>
    <w:p w:rsidR="00C85BB6" w:rsidRDefault="00C85BB6">
      <w:pPr>
        <w:pStyle w:val="ConsPlusNormal"/>
        <w:ind w:firstLine="540"/>
        <w:jc w:val="both"/>
      </w:pPr>
      <w:proofErr w:type="gramStart"/>
      <w:r>
        <w:t>1)-</w:t>
      </w:r>
      <w:proofErr w:type="gramEnd"/>
      <w:r>
        <w:t xml:space="preserve">2) исключены с 18 апреля 2013 года.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Законодательного Собрания Пермского края от 18.04.2013 N 781.</w:t>
      </w:r>
    </w:p>
    <w:p w:rsidR="00C85BB6" w:rsidRDefault="00C85BB6">
      <w:pPr>
        <w:pStyle w:val="ConsPlusNormal"/>
        <w:ind w:firstLine="540"/>
        <w:jc w:val="both"/>
      </w:pPr>
      <w:r>
        <w:t xml:space="preserve">Положительная динамика коэффициента отклонения для показателей первой группы, указанных в </w:t>
      </w:r>
      <w:hyperlink w:anchor="P774" w:history="1">
        <w:r>
          <w:rPr>
            <w:color w:val="0000FF"/>
          </w:rPr>
          <w:t>приложении 1</w:t>
        </w:r>
      </w:hyperlink>
      <w:r>
        <w:t xml:space="preserve">, обусловлена их возрастанием, а для показателей второй группы, указанных в </w:t>
      </w:r>
      <w:hyperlink w:anchor="P1005" w:history="1">
        <w:r>
          <w:rPr>
            <w:color w:val="0000FF"/>
          </w:rPr>
          <w:t>приложении 2</w:t>
        </w:r>
      </w:hyperlink>
      <w:r>
        <w:t>, - их убыванием.</w:t>
      </w:r>
    </w:p>
    <w:p w:rsidR="00C85BB6" w:rsidRDefault="00C85BB6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Законодательного Собрания Пермского края от 18.04.2013 N 781)</w:t>
      </w:r>
    </w:p>
    <w:p w:rsidR="00C85BB6" w:rsidRDefault="00C85BB6">
      <w:pPr>
        <w:pStyle w:val="ConsPlusNormal"/>
        <w:ind w:firstLine="540"/>
        <w:jc w:val="both"/>
      </w:pPr>
      <w:r>
        <w:t xml:space="preserve">Показатели первой группы, по которым коэффициент отклонения, рассчитанный согласно </w:t>
      </w:r>
      <w:hyperlink w:anchor="P740" w:history="1">
        <w:r>
          <w:rPr>
            <w:color w:val="0000FF"/>
          </w:rPr>
          <w:t>пункту 2</w:t>
        </w:r>
      </w:hyperlink>
      <w:r>
        <w:t xml:space="preserve"> настоящей Методики, больше или равен -0,05, а также показатели второй группы, по которым коэффициент отклонения не превышает 0,05, следует считать выполненными. В остальных случаях показатели считаются невыполненными.</w:t>
      </w:r>
    </w:p>
    <w:p w:rsidR="00C85BB6" w:rsidRDefault="00C85BB6">
      <w:pPr>
        <w:pStyle w:val="ConsPlusNormal"/>
        <w:ind w:firstLine="540"/>
        <w:jc w:val="both"/>
      </w:pPr>
      <w:r>
        <w:t xml:space="preserve">4. В случае получения отрицательного значения коэффициента отклонения, рассчитанного согласно </w:t>
      </w:r>
      <w:hyperlink w:anchor="P740" w:history="1">
        <w:r>
          <w:rPr>
            <w:color w:val="0000FF"/>
          </w:rPr>
          <w:t>пункту 2</w:t>
        </w:r>
      </w:hyperlink>
      <w:r>
        <w:t xml:space="preserve"> настоящей Методики, по показателям первой группы либо положительного значения коэффициента отклонения по показателям второй группы в абсолютном значении, превышающем 0,1, проводится анализ причин, повлекших это отклонение.</w:t>
      </w:r>
    </w:p>
    <w:p w:rsidR="00C85BB6" w:rsidRDefault="00C85BB6">
      <w:pPr>
        <w:pStyle w:val="ConsPlusNormal"/>
        <w:ind w:firstLine="540"/>
        <w:jc w:val="both"/>
      </w:pPr>
      <w:r>
        <w:t>В результате такого анализа может быть инициирована корректировка (уточнение) отдельных утвержденных показателей на последующие периоды.</w:t>
      </w:r>
    </w:p>
    <w:p w:rsidR="00C85BB6" w:rsidRDefault="00C85BB6">
      <w:pPr>
        <w:pStyle w:val="ConsPlusNormal"/>
        <w:ind w:firstLine="540"/>
        <w:jc w:val="both"/>
      </w:pPr>
      <w:r>
        <w:t xml:space="preserve">5. Достижение </w:t>
      </w:r>
      <w:proofErr w:type="gramStart"/>
      <w:r>
        <w:t>значений</w:t>
      </w:r>
      <w:proofErr w:type="gramEnd"/>
      <w:r>
        <w:t xml:space="preserve"> утвержденных настоящим Постановлением показателей оценивается на основе определения доли выполненных и невыполненных показателей в общем количестве утвержденных показателей.</w:t>
      </w:r>
    </w:p>
    <w:p w:rsidR="00C85BB6" w:rsidRDefault="00C85BB6">
      <w:pPr>
        <w:pStyle w:val="ConsPlusNormal"/>
        <w:ind w:firstLine="540"/>
        <w:jc w:val="both"/>
      </w:pPr>
      <w:r>
        <w:t>В случае невыполнения более чем 30 процентов от общего числа утвержденных показателей уровень достижения утвержденных показателей за анализируемый период может быть признан неудовлетворительным.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right"/>
      </w:pPr>
      <w:r>
        <w:t>Приложение 1</w:t>
      </w:r>
    </w:p>
    <w:p w:rsidR="00C85BB6" w:rsidRDefault="00C85BB6">
      <w:pPr>
        <w:pStyle w:val="ConsPlusNormal"/>
        <w:jc w:val="right"/>
      </w:pPr>
      <w:r>
        <w:t>к Методике</w:t>
      </w: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center"/>
      </w:pPr>
      <w:bookmarkStart w:id="3" w:name="P774"/>
      <w:bookmarkEnd w:id="3"/>
      <w:r>
        <w:t>Перечень</w:t>
      </w:r>
    </w:p>
    <w:p w:rsidR="00C85BB6" w:rsidRDefault="00C85BB6">
      <w:pPr>
        <w:pStyle w:val="ConsPlusNormal"/>
        <w:jc w:val="center"/>
      </w:pPr>
      <w:r>
        <w:t>целевых показателей, положительная динамика которых</w:t>
      </w:r>
    </w:p>
    <w:p w:rsidR="00C85BB6" w:rsidRDefault="00C85BB6">
      <w:pPr>
        <w:pStyle w:val="ConsPlusNormal"/>
        <w:jc w:val="center"/>
      </w:pPr>
      <w:r>
        <w:t>обусловлена их возрастанием (показатели первой группы)</w:t>
      </w:r>
    </w:p>
    <w:p w:rsidR="00C85BB6" w:rsidRDefault="00C85BB6">
      <w:pPr>
        <w:pStyle w:val="ConsPlusNormal"/>
        <w:jc w:val="center"/>
      </w:pPr>
      <w:r>
        <w:t>Список изменяющих документов</w:t>
      </w:r>
    </w:p>
    <w:p w:rsidR="00C85BB6" w:rsidRDefault="00C85BB6">
      <w:pPr>
        <w:pStyle w:val="ConsPlusNormal"/>
        <w:jc w:val="center"/>
      </w:pPr>
      <w:r>
        <w:t xml:space="preserve">(введен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</w:t>
      </w:r>
    </w:p>
    <w:p w:rsidR="00C85BB6" w:rsidRDefault="00C85BB6">
      <w:pPr>
        <w:pStyle w:val="ConsPlusNormal"/>
        <w:jc w:val="center"/>
      </w:pPr>
      <w:r>
        <w:t>Пермского края от 18.04.2013 N 781)</w:t>
      </w:r>
    </w:p>
    <w:p w:rsidR="00C85BB6" w:rsidRDefault="00C85BB6">
      <w:pPr>
        <w:pStyle w:val="ConsPlusNormal"/>
        <w:ind w:firstLine="540"/>
        <w:jc w:val="both"/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440"/>
        <w:gridCol w:w="7680"/>
      </w:tblGrid>
      <w:tr w:rsidR="00C85BB6">
        <w:trPr>
          <w:trHeight w:val="240"/>
        </w:trPr>
        <w:tc>
          <w:tcPr>
            <w:tcW w:w="1440" w:type="dxa"/>
          </w:tcPr>
          <w:p w:rsidR="00C85BB6" w:rsidRDefault="00C85BB6">
            <w:pPr>
              <w:pStyle w:val="ConsPlusNonformat"/>
              <w:jc w:val="both"/>
            </w:pPr>
            <w:r>
              <w:t>Порядковый</w:t>
            </w:r>
          </w:p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номер   </w:t>
            </w:r>
          </w:p>
          <w:p w:rsidR="00C85BB6" w:rsidRDefault="00C85BB6">
            <w:pPr>
              <w:pStyle w:val="ConsPlusNonformat"/>
              <w:jc w:val="both"/>
            </w:pPr>
            <w:r>
              <w:t>показателя</w:t>
            </w:r>
          </w:p>
        </w:tc>
        <w:tc>
          <w:tcPr>
            <w:tcW w:w="7680" w:type="dxa"/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          Наименование раздела и показателя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                       СОЦИАЛЬНАЯ ПОЛИТИКА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Численность постоянного населения на начало года, чел.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Ожидаемая продолжительность жизни, лет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Число родившихся за период с начала года, чел.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Миграционный прирост населения, чел.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Удовлетворенность населения медицинской помощью, % от числа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опрошенных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профилактических посещений от общего числа посещений, %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государственных краевых учреждений здравоохранения,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имеющих лицензию, от общего числа государственных краевых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учреждений здравоохранения, подлежащих лицензированию, %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Отношение средней заработной платы врачей к средней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заработной плате в Пермском крае, %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детей школьного возраста, посещающих занятия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физкультурно-оздоровительных групп и спортивных секций, в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общем количестве детей соответствующего возраста, %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Уровень обеспеченности населения спортивными сооружениями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исходя из их единовременной пропускной способности, %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населения, систематически занимающегося физической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культурой и спортом, %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Отношение средней заработной платы педагогических работников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дошкольных образовательных учреждений к средней заработной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плате в сфере общего образования в Пермском крае, %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Превышение среднего балла по всем предметам ЕГЭ в Пермском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крае по аналогичному показателю в Российской Федерации, ед.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учащихся Пермского края, ставших победителями и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призерами всероссийских и международных олимпиад и конкурсов,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от общего количества участников, %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студентов, поступивших в пермские вузы с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количеством баллов 225 и выше по результатам ЕГЭ, чел.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общеобразовательных учреждений, имеющих лицензии на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образовательную деятельность, %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Отношение средней заработной платы педагогических работников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образовательных учреждений общего образования к средней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заработной плате в Пермском крае, %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публикаций статей в изданиях, входящих в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международные системы цитирования Web of Science, SCOPUS,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подготовленных пермскими учеными в течение года, ед.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научных исследований, проводимых в партнерстве с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ведущими зарубежными учеными, ед.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детей, ставших дипломантами и лауреатами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международных и всероссийских конкурсов, чел.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Объем туристического потока в Пермском крае, внутренний и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внешний туризм, лица, размещенные в гостиницах, отелях и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других видах коллективных средств размещения, чел.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34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Отношение средней заработной платы работников культуры к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средней заработной плате в Пермском крае, %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многодетных семей, обеспеченных земельными участками в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собственность бесплатно, от числа многодетных семей,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поставленных на учет, %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детей-сирот, детей, оставшихся без попечения родителей,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находящихся в семейных формах устройства, %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Отношение средней заработной платы работников краевых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учреждений социального обслуживания и образования для детей-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сирот и детей, оставшихся без попечения родителей, к средней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заработной плате в Пермском крае, %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государственных краевых учреждений социального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обслуживания населения и образования для детей-сирот и детей,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оставшихся без попечения родителей, имеющих лицензию по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основным видам деятельности, от общего числа государственных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краевых учреждений такого типа, подлежащих лицензированию, %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 ЭКОНОМИЧЕСКАЯ ПОЛИТИКА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Прибыль до налогообложения, млн. руб.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Прибыль до налогообложения без отраслей калийного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производства, нефтедобычи и нефтепереработки, млн. руб.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Фонд начисленной заработной платы по полному кругу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организаций за период с начала отчетного года, млн. руб.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Среднемесячная номинальная начисленная заработная плата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работников, занятых в сфере экономики региона, руб.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Численность занятых в частном секторе, тыс. чел.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Поступление в бюджет Пермского края налоговых доходов, млн.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руб.     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сельскохозяйственной продукции местного производства в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расходах населения на продукты питания, %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зарегистрированных субъектов малого и среднего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предпринимательства, ед.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конкурентоспособных сельскохозяйственных предприятий, %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Объем инвестиций по полному кругу предприятий, млн. руб.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вновь созданных технологических стартапов, ед.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инвестиционных проектов, реализованных при участии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ОАО "Агентство содействия инвестициям Пермского края", ед./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размер инвестиций ОАО "Агентство содействия инвестициям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Пермского края" в проекты, млн. руб.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Объем федеральных финансовых средств, привлекаемых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Правительством Пермского края, % от общего объема федеральных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финансовых средств, направляемых на развитие субъектов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Российской Федерации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Оборот продукции (услуг), производимой малыми предприятиями,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в том числе микропредприятиями, и индивидуальными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предпринимателями, тыс. руб.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Реальные располагаемые денежные доходы населения, %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59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Объем налоговых и неналоговых доходов консолидированного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бюджета субъекта Российской Федерации, тыс. руб.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               ПРИРОДОПОЛЬЗОВАНИЕ И ИНФРАСТРУКТУРА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Ввод общей площади жилья в субъекте, тыс. кв. м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Удельный вес введенной общей площади жилых домов по отношению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 общей площади жилищного фонда, %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Общая площадь расселенного аварийного и ветхого жилищного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фонда в рамках реализуемых на территории края программ, тыс.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кв. м    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автомобильных дорог регионального значения,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соответствующих нормативным и допустимым требованиям к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транспортно-эксплуатационным показателям по сети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автомобильных дорог общего пользования регионального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значения, %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автомобильных дорог местного значения, соответствующих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нормативным и допустимым требованиям к транспортно-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эксплуатационным показателям по сети автомобильных дорог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общего пользования местного значения, %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отходов потребления, направляемых на переработку с целью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извлечения вторичного сырья, от массы образующихся твердых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бытовых отходов, %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населенных пунктов, газифицированных природным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газом, ед.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населения, обеспеченного питьевой водой, отвечающей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требованиям санитарного законодательства, %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Покрытие сотовой связью территории Пермского края в местах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жизнедеятельности населения (в границах поселения), %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Покрытие территории Пермского края сетью "Интернет" в местах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жизнедеятельности населения (в границах поселения), %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Плата за использование лесов, млн. руб.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субъектов хозяйственной и иной деятельности, не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превышающих нормативы предельно допустимых выбросов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загрязняющих веществ (от стационарных источников), от общего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количества субъектов хозяйственной и иной деятельности, с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установленными нормативами выбросов загрязняющих веществ, %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лесных пожаров, ликвидированных (локализованных) в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течение суток, %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Предотвращение потенциального ущерба от негативного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воздействия поверхностных вод и аварий на ГТС, млн. руб.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УПРАВЛЕНИЕ ЗЕМЕЛЬНЫМИ РЕСУРСАМИ И ИМУЩЕСТВОМ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Поступление земельного налога, арендной платы за землю и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доходов от продажи земельных участков в консолидированный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бюджет Пермского края, млн. руб.               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ТЕРРИТОРИАЛЬНОЕ РАЗВИТИЕ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76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Количество муниципальных районов, городских округов с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индексом обеспеченности более 1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77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Индекс обеспеченности бюджетов муниципальных районов,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городских округов (собственные доходы бюджетов муниципальных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районов, городских округов / текущие расходы </w:t>
            </w:r>
            <w:proofErr w:type="gramStart"/>
            <w:r>
              <w:t xml:space="preserve">бюджетов)   </w:t>
            </w:r>
            <w:proofErr w:type="gramEnd"/>
            <w:r>
              <w:t xml:space="preserve">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83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Освоение средств фонда софинансирования расходов (перечислено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в муниципальные бюджеты от объемов субсидий, утвержденных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постановлениями Правительства края), %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84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граждан, удовлетворенных имеющимися возможностями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реализации своих этнокультурных потребностей, %               </w:t>
            </w:r>
          </w:p>
        </w:tc>
      </w:tr>
    </w:tbl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jc w:val="right"/>
      </w:pPr>
      <w:r>
        <w:t>Приложение 2</w:t>
      </w:r>
    </w:p>
    <w:p w:rsidR="00C85BB6" w:rsidRDefault="00C85BB6">
      <w:pPr>
        <w:pStyle w:val="ConsPlusNormal"/>
        <w:jc w:val="right"/>
      </w:pPr>
      <w:r>
        <w:t>к Методике</w:t>
      </w:r>
    </w:p>
    <w:p w:rsidR="00C85BB6" w:rsidRDefault="00C85BB6">
      <w:pPr>
        <w:pStyle w:val="ConsPlusNormal"/>
        <w:jc w:val="center"/>
      </w:pPr>
    </w:p>
    <w:p w:rsidR="00C85BB6" w:rsidRDefault="00C85BB6">
      <w:pPr>
        <w:pStyle w:val="ConsPlusNormal"/>
        <w:jc w:val="center"/>
      </w:pPr>
      <w:bookmarkStart w:id="4" w:name="P1005"/>
      <w:bookmarkEnd w:id="4"/>
      <w:r>
        <w:t>Перечень</w:t>
      </w:r>
    </w:p>
    <w:p w:rsidR="00C85BB6" w:rsidRDefault="00C85BB6">
      <w:pPr>
        <w:pStyle w:val="ConsPlusNormal"/>
        <w:jc w:val="center"/>
      </w:pPr>
      <w:r>
        <w:t>целевых показателей, положительная динамика которых</w:t>
      </w:r>
    </w:p>
    <w:p w:rsidR="00C85BB6" w:rsidRDefault="00C85BB6">
      <w:pPr>
        <w:pStyle w:val="ConsPlusNormal"/>
        <w:jc w:val="center"/>
      </w:pPr>
      <w:r>
        <w:t>обусловлена их убыванием (показатели второй группы)</w:t>
      </w:r>
    </w:p>
    <w:p w:rsidR="00C85BB6" w:rsidRDefault="00C85BB6">
      <w:pPr>
        <w:pStyle w:val="ConsPlusNormal"/>
        <w:jc w:val="center"/>
      </w:pPr>
      <w:r>
        <w:t>Список изменяющих документов</w:t>
      </w:r>
    </w:p>
    <w:p w:rsidR="00C85BB6" w:rsidRDefault="00C85BB6">
      <w:pPr>
        <w:pStyle w:val="ConsPlusNormal"/>
        <w:jc w:val="center"/>
      </w:pPr>
      <w:r>
        <w:t xml:space="preserve">(введен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</w:t>
      </w:r>
    </w:p>
    <w:p w:rsidR="00C85BB6" w:rsidRDefault="00C85BB6">
      <w:pPr>
        <w:pStyle w:val="ConsPlusNormal"/>
        <w:jc w:val="center"/>
      </w:pPr>
      <w:r>
        <w:t>Пермского края от 18.04.2013 N 781)</w:t>
      </w:r>
    </w:p>
    <w:p w:rsidR="00C85BB6" w:rsidRDefault="00C85BB6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320"/>
        <w:gridCol w:w="7560"/>
      </w:tblGrid>
      <w:tr w:rsidR="00C85BB6">
        <w:trPr>
          <w:trHeight w:val="240"/>
        </w:trPr>
        <w:tc>
          <w:tcPr>
            <w:tcW w:w="1440" w:type="dxa"/>
          </w:tcPr>
          <w:p w:rsidR="00C85BB6" w:rsidRDefault="00C85BB6">
            <w:pPr>
              <w:pStyle w:val="ConsPlusNonformat"/>
              <w:jc w:val="both"/>
            </w:pPr>
            <w:r>
              <w:t>Порядковый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  номер   </w:t>
            </w:r>
          </w:p>
          <w:p w:rsidR="00C85BB6" w:rsidRDefault="00C85BB6">
            <w:pPr>
              <w:pStyle w:val="ConsPlusNonformat"/>
              <w:jc w:val="both"/>
            </w:pPr>
            <w:r>
              <w:t>показателя</w:t>
            </w:r>
          </w:p>
        </w:tc>
        <w:tc>
          <w:tcPr>
            <w:tcW w:w="7680" w:type="dxa"/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Наименование раздела и показателя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   СОЦИАЛЬНАЯ ПОЛИТИКА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Общее число умерших за период с начала года, чел.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Коэффициент младенческой смертности (число умерших в возрасте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до 1 года на 1000 родившихся живыми), промилле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Число умерших в трудоспособном возрасте, чел.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8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Число умерших от болезней системы кровообращения в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трудоспособном возрасте, чел.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9 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Число умерших от новообразований в трудоспособном возрасте,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чел.     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Численность лиц, впервые признанных инвалидами в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трудоспособном возрасте, чел.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Смертность трудоспособного населения от алкогольных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отравлений, случаев на 100 тыс. населения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Смертность населения от туберкулеза, случаев на 100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тыс. населения (без учета заболеваемости в учреждениях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уголовно-исправительной </w:t>
            </w:r>
            <w:proofErr w:type="gramStart"/>
            <w:r>
              <w:t xml:space="preserve">системы)   </w:t>
            </w:r>
            <w:proofErr w:type="gramEnd"/>
            <w:r>
              <w:t xml:space="preserve">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13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Смертность населения (без показателя смертности от внешних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причин), количество умерших на 100 тыс. чел.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18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Дефицит краевого бюджета к федеральному нормативу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финансирования Программы государственных гарантий, %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детей в возрасте от 3 до 7 лет, стоящих в очереди для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определения в дошкольные образовательные учреждения, %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25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выпускников государственных (муниципальных) 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общеобразовательных учреждений, не сдавших единый  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государственный экзамен, в общей численности выпускников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государственных (муниципальных) общеобразовательных  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учреждений, %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 ОБЩЕСТВЕННАЯ БЕЗОПАСНОСТЬ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39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Снижение доли преступлений, совершенных в общественных        </w:t>
            </w:r>
          </w:p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местах, %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lastRenderedPageBreak/>
              <w:t xml:space="preserve">    40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Уровень преступности на 10 тыс. населения, ед.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Численность несовершеннолетних, совершивших преступления,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чел.     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Уровень смертности в результате ДТП, чел. на 100 тыс.     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населения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   ЭКОНОМИЧЕСКАЯ ПОЛИТИКА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48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Уровень регистрируемой безработицы (в среднем за год), % к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экономически активному населению               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ПРИРОДОПОЛЬЗОВАНИЕ И ИНФРАСТРУКТУРА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62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Ограничение роста совокупной платы граждан за коммунальные 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услуги, %                                                     </w:t>
            </w:r>
          </w:p>
        </w:tc>
      </w:tr>
      <w:tr w:rsidR="00C85BB6">
        <w:trPr>
          <w:trHeight w:val="240"/>
        </w:trPr>
        <w:tc>
          <w:tcPr>
            <w:tcW w:w="9120" w:type="dxa"/>
            <w:gridSpan w:val="2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                      ТЕРРИТОРИАЛЬНОЕ РАЗВИТИЕ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78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Доля расходов на содержание органов местного самоуправления   </w:t>
            </w:r>
          </w:p>
          <w:p w:rsidR="00C85BB6" w:rsidRDefault="00C85BB6">
            <w:pPr>
              <w:pStyle w:val="ConsPlusNonformat"/>
              <w:jc w:val="both"/>
            </w:pPr>
            <w:r>
              <w:t xml:space="preserve">края в общем объеме расходов, </w:t>
            </w:r>
            <w:proofErr w:type="gramStart"/>
            <w:r>
              <w:t xml:space="preserve">%:   </w:t>
            </w:r>
            <w:proofErr w:type="gramEnd"/>
            <w:r>
              <w:t xml:space="preserve">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79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муниципальных районов, %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80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городских округов, %  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81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городских поселений, %                                        </w:t>
            </w:r>
          </w:p>
        </w:tc>
      </w:tr>
      <w:tr w:rsidR="00C85BB6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    82    </w:t>
            </w:r>
          </w:p>
        </w:tc>
        <w:tc>
          <w:tcPr>
            <w:tcW w:w="7680" w:type="dxa"/>
            <w:tcBorders>
              <w:top w:val="nil"/>
            </w:tcBorders>
          </w:tcPr>
          <w:p w:rsidR="00C85BB6" w:rsidRDefault="00C85BB6">
            <w:pPr>
              <w:pStyle w:val="ConsPlusNonformat"/>
              <w:jc w:val="both"/>
            </w:pPr>
            <w:r>
              <w:t xml:space="preserve">сельских поселений, %                                         </w:t>
            </w:r>
          </w:p>
        </w:tc>
      </w:tr>
    </w:tbl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ind w:firstLine="540"/>
        <w:jc w:val="both"/>
      </w:pPr>
    </w:p>
    <w:p w:rsidR="00C85BB6" w:rsidRDefault="00C85B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65B6" w:rsidRDefault="004F65B6">
      <w:bookmarkStart w:id="5" w:name="_GoBack"/>
      <w:bookmarkEnd w:id="5"/>
    </w:p>
    <w:sectPr w:rsidR="004F65B6" w:rsidSect="009B3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BB6"/>
    <w:rsid w:val="004F65B6"/>
    <w:rsid w:val="00C8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9AD83-AFBF-437D-A2A6-82B155A8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85B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85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85B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85B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5B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85B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D5BAA5B1064E12C3E8AFC678A0ED623DF3E7E1530D9A803BE951AF1592CC006B3FFC8329B8552F32F1B2OBICJ" TargetMode="External"/><Relationship Id="rId13" Type="http://schemas.openxmlformats.org/officeDocument/2006/relationships/hyperlink" Target="consultantplus://offline/ref=C4D5BAA5B1064E12C3E8AFC678A0ED623DF3E7E1530990873DE951AF1592CC006B3FFC8329B8552F32F1B3OBI8J" TargetMode="External"/><Relationship Id="rId18" Type="http://schemas.openxmlformats.org/officeDocument/2006/relationships/hyperlink" Target="consultantplus://offline/ref=C4D5BAA5B1064E12C3E8AFC678A0ED623DF3E7E1530B98833FE951AF1592CC006B3FFC8329B8552F32F1B3OBI7J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4D5BAA5B1064E12C3E8AFC678A0ED623DF3E7E1530B98833FE951AF1592CC006B3FFC8329B8552F32F1B3OBIBJ" TargetMode="External"/><Relationship Id="rId12" Type="http://schemas.openxmlformats.org/officeDocument/2006/relationships/hyperlink" Target="consultantplus://offline/ref=C4D5BAA5B1064E12C3E8AFC678A0ED623DF3E7E1530D9A803BE951AF1592CC006B3FFC8329B8552F32F1B2OBIFJ" TargetMode="External"/><Relationship Id="rId17" Type="http://schemas.openxmlformats.org/officeDocument/2006/relationships/hyperlink" Target="consultantplus://offline/ref=C4D5BAA5B1064E12C3E8AFC678A0ED623DF3E7E1530B98833FE951AF1592CC006B3FFC8329B8552F32F1B3OBI6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D5BAA5B1064E12C3E8AFC678A0ED623DF3E7E1530B98833FE951AF1592CC006B3FFC8329B8552F32F1B3OBI9J" TargetMode="External"/><Relationship Id="rId20" Type="http://schemas.openxmlformats.org/officeDocument/2006/relationships/hyperlink" Target="consultantplus://offline/ref=C4D5BAA5B1064E12C3E8AFC678A0ED623DF3E7E1530B98833FE951AF1592CC006B3FFC8329B8552F32F1BBOBI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D5BAA5B1064E12C3E8AFC678A0ED623DF3E7E1530990873DE951AF1592CC006B3FFC8329B8552F32F1B3OBIBJ" TargetMode="External"/><Relationship Id="rId11" Type="http://schemas.openxmlformats.org/officeDocument/2006/relationships/hyperlink" Target="consultantplus://offline/ref=C4D5BAA5B1064E12C3E8AFC678A0ED623DF3E7E1530D9A803BE951AF1592CC006B3FFC8329B8552F32F1B2OBIEJ" TargetMode="External"/><Relationship Id="rId5" Type="http://schemas.openxmlformats.org/officeDocument/2006/relationships/hyperlink" Target="consultantplus://offline/ref=C4D5BAA5B1064E12C3E8AFC678A0ED623DF3E7E1530D9A803BE951AF1592CC006B3FFC8329B8552F32F1B3OBIBJ" TargetMode="External"/><Relationship Id="rId15" Type="http://schemas.openxmlformats.org/officeDocument/2006/relationships/hyperlink" Target="consultantplus://offline/ref=C4D5BAA5B1064E12C3E8AFC678A0ED623DF3E7E1530B98833FE951AF1592CC006B3FFC8329B8552F32F1B3OBI8J" TargetMode="External"/><Relationship Id="rId10" Type="http://schemas.openxmlformats.org/officeDocument/2006/relationships/hyperlink" Target="consultantplus://offline/ref=C4D5BAA5B1064E12C3E8AFC678A0ED623DF3E7E1530D9A803BE951AF1592CC006B3FFC8329B8552F32F1B3OBI6J" TargetMode="External"/><Relationship Id="rId19" Type="http://schemas.openxmlformats.org/officeDocument/2006/relationships/hyperlink" Target="consultantplus://offline/ref=C4D5BAA5B1064E12C3E8AFC678A0ED623DF3E7E1530B98833FE951AF1592CC006B3FFC8329B8552F32F1B2OBIC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4D5BAA5B1064E12C3E8AFC678A0ED623DF3E7E1530D9A803BE951AF1592CC006B3FFC8329B8552F32F1B3OBI8J" TargetMode="External"/><Relationship Id="rId14" Type="http://schemas.openxmlformats.org/officeDocument/2006/relationships/hyperlink" Target="consultantplus://offline/ref=C4D5BAA5B1064E12C3E8AFC678A0ED623DF3E7E1530D9A803BE951AF1592CC006B3FFC8329B8552F32F1B2OBID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6168</Words>
  <Characters>35158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Шулов Владимир Иванович</dc:creator>
  <cp:keywords/>
  <dc:description/>
  <cp:lastModifiedBy>Костарева Екатерина Анатольевна</cp:lastModifiedBy>
  <cp:revision>1</cp:revision>
  <dcterms:created xsi:type="dcterms:W3CDTF">2016-06-08T09:08:00Z</dcterms:created>
  <dcterms:modified xsi:type="dcterms:W3CDTF">2016-06-08T09:09:00Z</dcterms:modified>
</cp:coreProperties>
</file>