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36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Кунгурского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2" w:colLast="3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Кыласовское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участии</w:t>
            </w:r>
            <w:proofErr w:type="gram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подпрограмме «Обеспечение жильем молодых семей» государственной программы Пермского края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Неволинское</w:t>
            </w:r>
            <w:proofErr w:type="spell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Плана ликвидации аварийных ситуаций в системах теплоснабжения с учётом взаимодействия тепл</w:t>
            </w:r>
            <w:proofErr w:type="gram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электро-, топливо-и</w:t>
            </w:r>
          </w:p>
          <w:p w:rsidR="00CF1138" w:rsidRPr="00135D43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водоснабжающих</w:t>
            </w:r>
            <w:proofErr w:type="spell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организаций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Моховское</w:t>
            </w:r>
            <w:proofErr w:type="spell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структуры администрации Моховского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F407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F4071" w:rsidRPr="00BE6089" w:rsidRDefault="00FF4071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03.12.2014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F36E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F36EC0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Моховское</w:t>
            </w:r>
            <w:proofErr w:type="spell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услуг»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ред. постановлений от 30.07.2014 № 195, от 03.10.2014 № 226)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F36E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F36EC0" w:rsidP="00F36E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01.12.2014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F36EC0" w:rsidP="00F36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36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2015-07-28T06:08:00Z</dcterms:modified>
</cp:coreProperties>
</file>