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0"/>
        <w:jc w:val="both"/>
        <w:outlineLvl w:val="0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27 апреля 2026 г. N 86226</w:t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ФЕДЕРАЛЬНОЕ АГЕНТСТВО ПО ДЕЛАМ НАЦИОНАЛЬНОСТЕЙ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27 марта 2026 г. N 43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ФОРМЫ КОНКУРСНОЙ ЗАЯВКИ И МЕТОДИКИ</w:t>
      </w:r>
    </w:p>
    <w:p>
      <w:pPr>
        <w:pStyle w:val="2"/>
        <w:jc w:val="center"/>
      </w:pPr>
      <w:r>
        <w:rPr>
          <w:sz w:val="24"/>
        </w:rPr>
        <w:t xml:space="preserve">ОЦЕНКИ КОНКУРСНЫХ ЗАЯВОК МУНИЦИПАЛЬНЫХ ОБРАЗОВАНИЙ,</w:t>
      </w:r>
    </w:p>
    <w:p>
      <w:pPr>
        <w:pStyle w:val="2"/>
        <w:jc w:val="center"/>
      </w:pPr>
      <w:r>
        <w:rPr>
          <w:sz w:val="24"/>
        </w:rPr>
        <w:t xml:space="preserve">ПРЕДСТАВЛЯЕМЫХ ДЛЯ УЧАСТИЯ ВО ВСЕРОССИЙСКОМ КОНКУРСЕ</w:t>
      </w:r>
    </w:p>
    <w:p>
      <w:pPr>
        <w:pStyle w:val="2"/>
        <w:jc w:val="center"/>
      </w:pPr>
      <w:r>
        <w:rPr>
          <w:sz w:val="24"/>
        </w:rPr>
        <w:t xml:space="preserve">"ЛУЧШАЯ МУНИЦИПАЛЬНАЯ ПРАКТИКА" ПО НОМИНАЦИИ "УКРЕПЛЕНИЕ</w:t>
      </w:r>
    </w:p>
    <w:p>
      <w:pPr>
        <w:pStyle w:val="2"/>
        <w:jc w:val="center"/>
      </w:pPr>
      <w:r>
        <w:rPr>
          <w:sz w:val="24"/>
        </w:rPr>
        <w:t xml:space="preserve">МЕЖНАЦИОНАЛЬНОГО МИРА И СОГЛАСИЯ, РЕАЛИЗАЦИЯ ИНЫХ</w:t>
      </w:r>
    </w:p>
    <w:p>
      <w:pPr>
        <w:pStyle w:val="2"/>
        <w:jc w:val="center"/>
      </w:pPr>
      <w:r>
        <w:rPr>
          <w:sz w:val="24"/>
        </w:rPr>
        <w:t xml:space="preserve">МЕРОПРИЯТИЙ В СФЕРЕ НАЦИОНАЛЬНОЙ ПОЛИТИКИ</w:t>
      </w:r>
    </w:p>
    <w:p>
      <w:pPr>
        <w:pStyle w:val="2"/>
        <w:jc w:val="center"/>
      </w:pPr>
      <w:r>
        <w:rPr>
          <w:sz w:val="24"/>
        </w:rPr>
        <w:t xml:space="preserve">НА МУНИЦИПАЛЬНОМ УРОВНЕ"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r:id="rId6" w:tooltip="Постановление Правительства РФ от 18.08.2016 N 815 (ред. от 14.05.2025) &quot;О Всероссийском конкурсе &quot;Лучшая муниципальная практика&quot; (вместе с &quot;Положением о Всероссийском конкурсе &quot;Лучшая муниципальная практика&quot;) {КонсультантПлюс}" w:history="0">
        <w:r>
          <w:rPr>
            <w:color w:val="0000ff"/>
            <w:sz w:val="24"/>
          </w:rPr>
          <w:t xml:space="preserve">подпунктом "г" пункта 9</w:t>
        </w:r>
      </w:hyperlink>
      <w:r>
        <w:rPr>
          <w:sz w:val="24"/>
        </w:rPr>
        <w:t xml:space="preserve"> Положения о Всероссийском конкурсе "Лучшая муниципальная практика", утвержденного постановлением Правительства Российской Федерации от 18 августа 2016 г. N 815, приказываю: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1. Утвердить:</w:t>
      </w:r>
    </w:p>
    <w:p>
      <w:pPr>
        <w:pStyle w:val="0"/>
        <w:spacing w:before="240"/>
        <w:ind w:firstLine="540"/>
        <w:jc w:val="both"/>
      </w:pPr>
      <w:hyperlink w:tooltip="МЕТОДИКА" w:anchor="P37" w:history="0">
        <w:r>
          <w:rPr>
            <w:color w:val="0000ff"/>
            <w:sz w:val="24"/>
          </w:rPr>
          <w:t xml:space="preserve">методику</w:t>
        </w:r>
      </w:hyperlink>
      <w:r>
        <w:rPr>
          <w:sz w:val="24"/>
        </w:rPr>
        <w:t xml:space="preserve"> оценки конкурсных заявок муниципальных образований, представляемых для участия во Всероссийском конкурсе "Лучшая муниципальная практика" по номинации "Укрепление межнационального мира и согласия, реализация иных мероприятий в сфере национальной политики на муниципальном уровне", согласно приложению N 1 к настоящему приказу;</w:t>
      </w:r>
    </w:p>
    <w:p>
      <w:pPr>
        <w:pStyle w:val="0"/>
        <w:spacing w:before="240"/>
        <w:ind w:firstLine="540"/>
        <w:jc w:val="both"/>
      </w:pPr>
      <w:hyperlink w:tooltip="КОНКУРСНАЯ ЗАЯВКА" w:anchor="P179" w:history="0">
        <w:r>
          <w:rPr>
            <w:color w:val="0000ff"/>
            <w:sz w:val="24"/>
          </w:rPr>
          <w:t xml:space="preserve">форму</w:t>
        </w:r>
      </w:hyperlink>
      <w:r>
        <w:rPr>
          <w:sz w:val="24"/>
        </w:rPr>
        <w:t xml:space="preserve"> конкурсной заявки муниципального образования, представляемой для участия во Всероссийском конкурсе "Лучшая муниципальная практика" по номинации "Укрепление межнационального мира и согласия, реализация иных мероприятий в сфере национальной политики на муниципальном уровне", согласно приложению N 2 к настоящему приказу.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Признать утратившими силу приказы Федерального агентства по делам национальностей: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от 23 июня 2020 г. </w:t>
      </w:r>
      <w:hyperlink r:id="rId7" w:tooltip="Приказ ФАДН России от 23.06.2020 N 76 (ред. от 04.04.2022) &quot;Об утверждении формы конкурсной заявки и методики оценки конкурсных заявок муниципальных образований, представляемых для участия во Всероссийском конкурсе &quot;Лучшая муниципальная практика&quot; по номинации &quot;Укрепление межнационального мира и согласия, реализация иных мероприятий в сфере национальной политики на муниципальном уровне&quot; (Зарегистрировано в Минюсте России 17.08.2020 N 59287) ------------ Утратил силу или отменен {КонсультантПлюс}" w:history="0">
        <w:r>
          <w:rPr>
            <w:color w:val="0000ff"/>
            <w:sz w:val="24"/>
          </w:rPr>
          <w:t xml:space="preserve">N 76</w:t>
        </w:r>
      </w:hyperlink>
      <w:r>
        <w:rPr>
          <w:sz w:val="24"/>
        </w:rPr>
        <w:t xml:space="preserve"> "Об утверждении формы конкурсной заявки и методики оценки конкурсных заявок муниципальных образований, представляемых для участия во Всероссийском конкурсе "Лучшая муниципальная практика" по номинации "Укрепление межнационального мира и согласия, реализация иных мероприятий в сфере национальной политики на муниципальном уровне" (зарегистрирован Министерством юстиции Российской Федерации 17 августа 2020 г., регистрационный N 59287);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от 4 апреля 2022 г. </w:t>
      </w:r>
      <w:hyperlink r:id="rId8" w:tooltip="Приказ ФАДН России от 04.04.2022 N 52 &quot;О внесении изменений в приложения N 1 и N 2 к приказу Федерального агентства по делам национальностей от 23 июня 2020 г. N 76 &quot;Об утверждении формы конкурсной заявки и методики оценки конкурсных заявок муниципальных образований, представляемых для участия во Всероссийском конкурсе &quot;Лучшая муниципальная практика&quot; по номинации &quot;Укрепление межнационального мира и согласия, реализация иных мероприятий в сфере национальной политики на муниципальном уровне&quot; (Зарегистрировано ------------ Утратил силу или отменен {КонсультантПлюс}" w:history="0">
        <w:r>
          <w:rPr>
            <w:color w:val="0000ff"/>
            <w:sz w:val="24"/>
          </w:rPr>
          <w:t xml:space="preserve">N 52</w:t>
        </w:r>
      </w:hyperlink>
      <w:r>
        <w:rPr>
          <w:sz w:val="24"/>
        </w:rPr>
        <w:t xml:space="preserve"> "О внесении изменений в приложения N 1 и N 2 к приказу Федерального агентства по делам национальностей от 23 июня 2020 г. N 76 "Об утверждении формы конкурсной заявки и методики оценки конкурсных заявок муниципальных образований, представляемых для участия во Всероссийском конкурсе "Лучшая муниципальная практика" по номинации "Укрепление межнационального мира и согласия, реализация иных мероприятий в сфере национальной политики на муниципальном уровне" (зарегистрирован Министерством юстиции Российской Федерации 13 июля 2022 г., регистрационный N 69249).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Руководитель</w:t>
      </w:r>
    </w:p>
    <w:p>
      <w:pPr>
        <w:pStyle w:val="0"/>
        <w:jc w:val="right"/>
      </w:pPr>
      <w:r>
        <w:rPr>
          <w:sz w:val="24"/>
        </w:rPr>
        <w:t xml:space="preserve">И.В.БАРИНОВ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приказу Федерального агентства</w:t>
      </w:r>
    </w:p>
    <w:p>
      <w:pPr>
        <w:pStyle w:val="0"/>
        <w:jc w:val="right"/>
      </w:pPr>
      <w:r>
        <w:rPr>
          <w:sz w:val="24"/>
        </w:rPr>
        <w:t xml:space="preserve">по делам национальностей</w:t>
      </w:r>
    </w:p>
    <w:p>
      <w:pPr>
        <w:pStyle w:val="0"/>
        <w:jc w:val="right"/>
      </w:pPr>
      <w:r>
        <w:rPr>
          <w:sz w:val="24"/>
        </w:rPr>
        <w:t xml:space="preserve">от 27.03.2026 N 43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37" w:name="P37"/>
    <w:bookmarkEnd w:id="37"/>
    <w:p>
      <w:pPr>
        <w:pStyle w:val="2"/>
        <w:jc w:val="center"/>
      </w:pPr>
      <w:r>
        <w:rPr>
          <w:sz w:val="24"/>
        </w:rPr>
        <w:t xml:space="preserve">МЕТОДИКА</w:t>
      </w:r>
    </w:p>
    <w:p>
      <w:pPr>
        <w:pStyle w:val="2"/>
        <w:jc w:val="center"/>
      </w:pPr>
      <w:r>
        <w:rPr>
          <w:sz w:val="24"/>
        </w:rPr>
        <w:t xml:space="preserve">ОЦЕНКИ КОНКУРСНЫХ ЗАЯВОК МУНИЦИПАЛЬНЫХ ОБРАЗОВАНИЙ,</w:t>
      </w:r>
    </w:p>
    <w:p>
      <w:pPr>
        <w:pStyle w:val="2"/>
        <w:jc w:val="center"/>
      </w:pPr>
      <w:r>
        <w:rPr>
          <w:sz w:val="24"/>
        </w:rPr>
        <w:t xml:space="preserve">ПРЕДСТАВЛЯЕМЫХ ДЛЯ УЧАСТИЯ ВО ВСЕРОССИЙСКОМ КОНКУРСЕ</w:t>
      </w:r>
    </w:p>
    <w:p>
      <w:pPr>
        <w:pStyle w:val="2"/>
        <w:jc w:val="center"/>
      </w:pPr>
      <w:r>
        <w:rPr>
          <w:sz w:val="24"/>
        </w:rPr>
        <w:t xml:space="preserve">"ЛУЧШАЯ МУНИЦИПАЛЬНАЯ ПРАКТИКА" ПО НОМИНАЦИИ "УКРЕПЛЕНИЕ</w:t>
      </w:r>
    </w:p>
    <w:p>
      <w:pPr>
        <w:pStyle w:val="2"/>
        <w:jc w:val="center"/>
      </w:pPr>
      <w:r>
        <w:rPr>
          <w:sz w:val="24"/>
        </w:rPr>
        <w:t xml:space="preserve">МЕЖНАЦИОНАЛЬНОГО МИРА И СОГЛАСИЯ, РЕАЛИЗАЦИЯ ИНЫХ</w:t>
      </w:r>
    </w:p>
    <w:p>
      <w:pPr>
        <w:pStyle w:val="2"/>
        <w:jc w:val="center"/>
      </w:pPr>
      <w:r>
        <w:rPr>
          <w:sz w:val="24"/>
        </w:rPr>
        <w:t xml:space="preserve">МЕРОПРИЯТИЙ В СФЕРЕ НАЦИОНАЛЬНОЙ ПОЛИТИКИ</w:t>
      </w:r>
    </w:p>
    <w:p>
      <w:pPr>
        <w:pStyle w:val="2"/>
        <w:jc w:val="center"/>
      </w:pPr>
      <w:r>
        <w:rPr>
          <w:sz w:val="24"/>
        </w:rPr>
        <w:t xml:space="preserve">НА МУНИЦИПАЛЬНОМ УРОВНЕ"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Оценка конкурсных заявок муниципальных образований, представляемых для участия во Всероссийском конкурсе "Лучшая муниципальная практика" по номинации "Укрепление межнационального мира и согласия, реализация иных мероприятий в сфере национальной политики на муниципальном уровне", осуществляется федеральной конкурсной комиссией по организации и проведению Всероссийского конкурса "Лучшая муниципальная практика" (далее соответственно - конкурс, конкурсная заявка, федеральная конкурсная комиссия, практика) в целях последовательного выявления и отбора примеров лучшей муниципальной практики на региональном и федеральном этапах конкурса путем присвоения количества баллов согласно настоящей Методике.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Конкурсная заявка подается на каждого участника конкурса и оформляется по форме, содержащейся в </w:t>
      </w:r>
      <w:hyperlink w:tooltip="КОНКУРСНАЯ ЗАЯВКА" w:anchor="P179" w:history="0">
        <w:r>
          <w:rPr>
            <w:color w:val="0000ff"/>
            <w:sz w:val="24"/>
          </w:rPr>
          <w:t xml:space="preserve">приложении N 2</w:t>
        </w:r>
      </w:hyperlink>
      <w:r>
        <w:rPr>
          <w:sz w:val="24"/>
        </w:rPr>
        <w:t xml:space="preserve"> к настоящему приказу (далее - форма). К конкурсной заявке прилагаются "Сведения об основных характеристиках муниципальной практики для оценки конкурсной заявки" (</w:t>
      </w:r>
      <w:hyperlink w:tooltip="Сведения" w:anchor="P248" w:history="0">
        <w:r>
          <w:rPr>
            <w:color w:val="0000ff"/>
            <w:sz w:val="24"/>
          </w:rPr>
          <w:t xml:space="preserve">приложение</w:t>
        </w:r>
      </w:hyperlink>
      <w:r>
        <w:rPr>
          <w:sz w:val="24"/>
        </w:rPr>
        <w:t xml:space="preserve"> к форме) и презентация.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"Сведения об основных характеристиках муниципальной практики для оценки конкурсной заявки" должны содержать основные сведения по муниципальному образованию, описание муниципальной практики и оценки муниципальной практики в соответствии с указанными в форме параметрами.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Презентация конкурсной заявки готовится в свободной форме. В ней должны быть наиболее полно раскрыты примеры мероприятий в сфере реализации в муниципальном образовании государственной национальной политики Российской Федерации и методика их проведения.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ходе практики должны быть осуществлены одно мероприятие или комплекс мероприятий, предпринятых для решения какой-либо задачи, которые должны быть проведены в течение двух календарных лет до даты подачи конкурсной заявки.</w:t>
      </w:r>
    </w:p>
    <w:bookmarkStart w:id="50" w:name="P50"/>
    <w:bookmarkEnd w:id="50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3. Оценка конкурсных заявок на региональном этапе конкурса (К</w:t>
      </w:r>
      <w:r>
        <w:rPr>
          <w:sz w:val="24"/>
          <w:vertAlign w:val="subscript"/>
        </w:rPr>
        <w:t xml:space="preserve">рег</w:t>
      </w:r>
      <w:r>
        <w:rPr>
          <w:sz w:val="24"/>
        </w:rPr>
        <w:t xml:space="preserve">) рассчитывается исполнительным органом субъекта Российской Федерации, организационным комитетом или иным коллегиальным органом, образованным для проведения регионального этапа конкурса в соответствующем субъекте Российской Федерации (далее - региональный организатор), по формуле: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К</w:t>
      </w:r>
      <w:r>
        <w:rPr>
          <w:sz w:val="24"/>
          <w:vertAlign w:val="subscript"/>
        </w:rPr>
        <w:t xml:space="preserve">рег</w:t>
      </w:r>
      <w:r>
        <w:rPr>
          <w:sz w:val="24"/>
        </w:rPr>
        <w:t xml:space="preserve"> = П</w:t>
      </w:r>
      <w:r>
        <w:rPr>
          <w:sz w:val="24"/>
          <w:vertAlign w:val="subscript"/>
        </w:rPr>
        <w:t xml:space="preserve">1</w:t>
      </w:r>
      <w:r>
        <w:rPr>
          <w:sz w:val="24"/>
        </w:rPr>
        <w:t xml:space="preserve"> x К</w:t>
      </w:r>
      <w:r>
        <w:rPr>
          <w:sz w:val="24"/>
          <w:vertAlign w:val="subscript"/>
        </w:rPr>
        <w:t xml:space="preserve">1</w:t>
      </w:r>
      <w:r>
        <w:rPr>
          <w:sz w:val="24"/>
        </w:rPr>
        <w:t xml:space="preserve"> + П</w:t>
      </w:r>
      <w:r>
        <w:rPr>
          <w:sz w:val="24"/>
          <w:vertAlign w:val="subscript"/>
        </w:rPr>
        <w:t xml:space="preserve">2</w:t>
      </w:r>
      <w:r>
        <w:rPr>
          <w:sz w:val="24"/>
        </w:rPr>
        <w:t xml:space="preserve"> x К</w:t>
      </w:r>
      <w:r>
        <w:rPr>
          <w:sz w:val="24"/>
          <w:vertAlign w:val="subscript"/>
        </w:rPr>
        <w:t xml:space="preserve">2</w:t>
      </w:r>
      <w:r>
        <w:rPr>
          <w:sz w:val="24"/>
        </w:rPr>
        <w:t xml:space="preserve"> + П</w:t>
      </w:r>
      <w:r>
        <w:rPr>
          <w:sz w:val="24"/>
          <w:vertAlign w:val="subscript"/>
        </w:rPr>
        <w:t xml:space="preserve">3</w:t>
      </w:r>
      <w:r>
        <w:rPr>
          <w:sz w:val="24"/>
        </w:rPr>
        <w:t xml:space="preserve"> x К</w:t>
      </w:r>
      <w:r>
        <w:rPr>
          <w:sz w:val="24"/>
          <w:vertAlign w:val="subscript"/>
        </w:rPr>
        <w:t xml:space="preserve">3</w:t>
      </w:r>
      <w:r>
        <w:rPr>
          <w:sz w:val="24"/>
        </w:rPr>
        <w:t xml:space="preserve"> + П</w:t>
      </w:r>
      <w:r>
        <w:rPr>
          <w:sz w:val="24"/>
          <w:vertAlign w:val="subscript"/>
        </w:rPr>
        <w:t xml:space="preserve">4</w:t>
      </w:r>
      <w:r>
        <w:rPr>
          <w:sz w:val="24"/>
        </w:rPr>
        <w:t xml:space="preserve"> + П</w:t>
      </w:r>
      <w:r>
        <w:rPr>
          <w:sz w:val="24"/>
          <w:vertAlign w:val="subscript"/>
        </w:rPr>
        <w:t xml:space="preserve">5</w:t>
      </w:r>
      <w:r>
        <w:rPr>
          <w:sz w:val="24"/>
        </w:rPr>
        <w:t xml:space="preserve"> + П</w:t>
      </w:r>
      <w:r>
        <w:rPr>
          <w:sz w:val="24"/>
          <w:vertAlign w:val="subscript"/>
        </w:rPr>
        <w:t xml:space="preserve">6</w:t>
      </w:r>
      <w:r>
        <w:rPr>
          <w:sz w:val="24"/>
        </w:rPr>
        <w:t xml:space="preserve">,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</w:t>
      </w:r>
      <w:r>
        <w:rPr>
          <w:sz w:val="24"/>
          <w:vertAlign w:val="subscript"/>
        </w:rPr>
        <w:t xml:space="preserve">рег</w:t>
      </w:r>
      <w:r>
        <w:rPr>
          <w:sz w:val="24"/>
        </w:rPr>
        <w:t xml:space="preserve"> - оценка конкурсной заявки на региональном этапе,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</w:t>
      </w:r>
      <w:r>
        <w:rPr>
          <w:sz w:val="24"/>
          <w:vertAlign w:val="subscript"/>
        </w:rPr>
        <w:t xml:space="preserve">1</w:t>
      </w:r>
      <w:r>
        <w:rPr>
          <w:sz w:val="24"/>
        </w:rPr>
        <w:t xml:space="preserve">, П</w:t>
      </w:r>
      <w:r>
        <w:rPr>
          <w:sz w:val="24"/>
          <w:vertAlign w:val="subscript"/>
        </w:rPr>
        <w:t xml:space="preserve">2</w:t>
      </w:r>
      <w:r>
        <w:rPr>
          <w:sz w:val="24"/>
        </w:rPr>
        <w:t xml:space="preserve">, П</w:t>
      </w:r>
      <w:r>
        <w:rPr>
          <w:sz w:val="24"/>
          <w:vertAlign w:val="subscript"/>
        </w:rPr>
        <w:t xml:space="preserve">3</w:t>
      </w:r>
      <w:r>
        <w:rPr>
          <w:sz w:val="24"/>
        </w:rPr>
        <w:t xml:space="preserve">, П</w:t>
      </w:r>
      <w:r>
        <w:rPr>
          <w:sz w:val="24"/>
          <w:vertAlign w:val="subscript"/>
        </w:rPr>
        <w:t xml:space="preserve">4</w:t>
      </w:r>
      <w:r>
        <w:rPr>
          <w:sz w:val="24"/>
        </w:rPr>
        <w:t xml:space="preserve">, П</w:t>
      </w:r>
      <w:r>
        <w:rPr>
          <w:sz w:val="24"/>
          <w:vertAlign w:val="subscript"/>
        </w:rPr>
        <w:t xml:space="preserve">5</w:t>
      </w:r>
      <w:r>
        <w:rPr>
          <w:sz w:val="24"/>
        </w:rPr>
        <w:t xml:space="preserve">, П</w:t>
      </w:r>
      <w:r>
        <w:rPr>
          <w:sz w:val="24"/>
          <w:vertAlign w:val="subscript"/>
        </w:rPr>
        <w:t xml:space="preserve">6</w:t>
      </w:r>
      <w:r>
        <w:rPr>
          <w:sz w:val="24"/>
        </w:rPr>
        <w:t xml:space="preserve"> - значения показателей, предусмотренных соответственно </w:t>
      </w:r>
      <w:hyperlink w:tooltip="1" w:anchor="P110" w:history="0">
        <w:r>
          <w:rPr>
            <w:color w:val="0000ff"/>
            <w:sz w:val="24"/>
          </w:rPr>
          <w:t xml:space="preserve">пунктами 1</w:t>
        </w:r>
      </w:hyperlink>
      <w:r>
        <w:rPr>
          <w:sz w:val="24"/>
        </w:rPr>
        <w:t xml:space="preserve"> - </w:t>
      </w:r>
      <w:hyperlink w:tooltip="6." w:anchor="P161" w:history="0">
        <w:r>
          <w:rPr>
            <w:color w:val="0000ff"/>
            <w:sz w:val="24"/>
          </w:rPr>
          <w:t xml:space="preserve">6</w:t>
        </w:r>
      </w:hyperlink>
      <w:r>
        <w:rPr>
          <w:sz w:val="24"/>
        </w:rPr>
        <w:t xml:space="preserve"> перечня параметров оценки конкурсных заявок муниципальных образований, представляемых для участия во Всероссийском конкурсе "Лучшая муниципальная практика" по номинации "Укрепление межнационального мира и согласия, реализация иных мероприятий в сфере национальной политики на муниципальном уровне", приведенных в приложении к настоящей Методике,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</w:t>
      </w:r>
      <w:r>
        <w:rPr>
          <w:sz w:val="24"/>
          <w:vertAlign w:val="subscript"/>
        </w:rPr>
        <w:t xml:space="preserve">1</w:t>
      </w:r>
      <w:r>
        <w:rPr>
          <w:sz w:val="24"/>
        </w:rPr>
        <w:t xml:space="preserve"> - К</w:t>
      </w:r>
      <w:r>
        <w:rPr>
          <w:sz w:val="24"/>
          <w:vertAlign w:val="subscript"/>
        </w:rPr>
        <w:t xml:space="preserve">3</w:t>
      </w:r>
      <w:r>
        <w:rPr>
          <w:sz w:val="24"/>
        </w:rPr>
        <w:t xml:space="preserve"> - коэффициенты показателей, предусмотренные </w:t>
      </w:r>
      <w:hyperlink w:tooltip="ПАРАМЕТРЫ" w:anchor="P99" w:history="0">
        <w:r>
          <w:rPr>
            <w:color w:val="0000ff"/>
            <w:sz w:val="24"/>
          </w:rPr>
          <w:t xml:space="preserve">приложением</w:t>
        </w:r>
      </w:hyperlink>
      <w:r>
        <w:rPr>
          <w:sz w:val="24"/>
        </w:rPr>
        <w:t xml:space="preserve"> к настоящей Методике. Значение показателей определяется в соответствии с параметрами, предусмотренными </w:t>
      </w:r>
      <w:hyperlink w:tooltip="ПАРАМЕТРЫ" w:anchor="P99" w:history="0">
        <w:r>
          <w:rPr>
            <w:color w:val="0000ff"/>
            <w:sz w:val="24"/>
          </w:rPr>
          <w:t xml:space="preserve">приложением</w:t>
        </w:r>
      </w:hyperlink>
      <w:r>
        <w:rPr>
          <w:sz w:val="24"/>
        </w:rPr>
        <w:t xml:space="preserve"> к настоящей Методике.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4. Для представления в федеральную конкурсную комиссию региональным организатором по каждой категории участников конкурса отбираются конкурсные заявки, набравшие наибольшее количество баллов в соответствии с </w:t>
      </w:r>
      <w:hyperlink w:tooltip="3. Оценка конкурсных заявок на региональном этапе конкурса (Крег) рассчитывается исполнительным органом субъекта Российской Федерации, организационным комитетом или иным коллегиальным органом, образованным для проведения регионального этапа конкурса в соответствующем субъекте Российской Федерации (далее - региональный организатор), по формуле:" w:anchor="P50" w:history="0">
        <w:r>
          <w:rPr>
            <w:color w:val="0000ff"/>
            <w:sz w:val="24"/>
          </w:rPr>
          <w:t xml:space="preserve">пунктом 3</w:t>
        </w:r>
      </w:hyperlink>
      <w:r>
        <w:rPr>
          <w:sz w:val="24"/>
        </w:rPr>
        <w:t xml:space="preserve"> настоящей Методики.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Конкурсная заявка и "Сведения об основных характеристиках муниципальной практики для оценки конкурсной заявки", представляемые по результатам регионального этапа конкурса в федеральную конкурсную комиссию, визируются должностным лицом, ответственным в субъекте Российской Федерации за предоставление конкурсной заявки на федеральный этап конкурса.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5. В случае если конкурсная заявка направляется в федеральную конкурсную комиссию Ассоциацией "Всероссийская ассоциация развития местного самоуправления" в порядке, предусмотренном </w:t>
      </w:r>
      <w:hyperlink r:id="rId9" w:tooltip="Постановление Правительства РФ от 18.08.2016 N 815 (ред. от 14.05.2025) &quot;О Всероссийском конкурсе &quot;Лучшая муниципальная практика&quot; (вместе с &quot;Положением о Всероссийском конкурсе &quot;Лучшая муниципальная практика&quot;) {КонсультантПлюс}" w:history="0">
        <w:r>
          <w:rPr>
            <w:color w:val="0000ff"/>
            <w:sz w:val="24"/>
          </w:rPr>
          <w:t xml:space="preserve">пунктом 8</w:t>
        </w:r>
      </w:hyperlink>
      <w:r>
        <w:rPr>
          <w:sz w:val="24"/>
        </w:rPr>
        <w:t xml:space="preserve"> Положения о Всероссийском конкурсе "Лучшая муниципальная практика", утвержденного постановлением Правительства Российской Федерации от 18 августа 2016 г. N 815, конкурсная заявка и "Сведения об основных характеристиках муниципальной практики для оценки конкурсной заявки" визируются должностным лицом указанной некоммерческой организации, уполномоченным действовать от ее имени без доверенности.</w:t>
      </w:r>
    </w:p>
    <w:bookmarkStart w:id="61" w:name="P61"/>
    <w:bookmarkEnd w:id="61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6. Оценка конкурсных заявок, поступивших в федеральную конкурсную комиссию по номинации "Укрепление межнационального мира и согласия, реализация иных мероприятий в сфере национальной политики на муниципальном уровне" осуществляется членами ее подкомиссии (далее - подкомиссия).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7. Подкомиссия осуществляет оценку конкурсных заявок по формулам, предусмотренным </w:t>
      </w:r>
      <w:hyperlink w:tooltip="3. Оценка конкурсных заявок на региональном этапе конкурса (Крег) рассчитывается исполнительным органом субъекта Российской Федерации, организационным комитетом или иным коллегиальным органом, образованным для проведения регионального этапа конкурса в соответствующем субъекте Российской Федерации (далее - региональный организатор), по формуле:" w:anchor="P50" w:history="0">
        <w:r>
          <w:rPr>
            <w:color w:val="0000ff"/>
            <w:sz w:val="24"/>
          </w:rPr>
          <w:t xml:space="preserve">пунктом 3</w:t>
        </w:r>
      </w:hyperlink>
      <w:r>
        <w:rPr>
          <w:sz w:val="24"/>
        </w:rPr>
        <w:t xml:space="preserve"> настоящей Методики, по убыванию количества набранных баллов в зависимости от категории участников конкурса.</w:t>
      </w:r>
    </w:p>
    <w:bookmarkStart w:id="63" w:name="P63"/>
    <w:bookmarkEnd w:id="63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8. Оценка конкурсных заявок на федеральном этапе конкурса осуществляется в отношении 10 конкурсных заявок в каждой категории участников конкурса, набравших в соответствии с </w:t>
      </w:r>
      <w:hyperlink w:tooltip="3. Оценка конкурсных заявок на региональном этапе конкурса (Крег) рассчитывается исполнительным органом субъекта Российской Федерации, организационным комитетом или иным коллегиальным органом, образованным для проведения регионального этапа конкурса в соответствующем субъекте Российской Федерации (далее - региональный организатор), по формуле:" w:anchor="P50" w:history="0">
        <w:r>
          <w:rPr>
            <w:color w:val="0000ff"/>
            <w:sz w:val="24"/>
          </w:rPr>
          <w:t xml:space="preserve">пунктами 3</w:t>
        </w:r>
      </w:hyperlink>
      <w:r>
        <w:rPr>
          <w:sz w:val="24"/>
        </w:rPr>
        <w:t xml:space="preserve"> и </w:t>
      </w:r>
      <w:hyperlink w:tooltip="6. Оценка конкурсных заявок, поступивших в федеральную конкурсную комиссию по номинации &quot;Укрепление межнационального мира и согласия, реализация иных мероприятий в сфере национальной политики на муниципальном уровне&quot; осуществляется членами ее подкомиссии (далее - подкомиссия)." w:anchor="P61" w:history="0">
        <w:r>
          <w:rPr>
            <w:color w:val="0000ff"/>
            <w:sz w:val="24"/>
          </w:rPr>
          <w:t xml:space="preserve">6</w:t>
        </w:r>
      </w:hyperlink>
      <w:r>
        <w:rPr>
          <w:sz w:val="24"/>
        </w:rPr>
        <w:t xml:space="preserve"> настоящей Методики наибольшее количество баллов, и рассчитывается по формуле: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К</w:t>
      </w:r>
      <w:r>
        <w:rPr>
          <w:sz w:val="24"/>
          <w:vertAlign w:val="subscript"/>
        </w:rPr>
        <w:t xml:space="preserve">фед</w:t>
      </w:r>
      <w:r>
        <w:rPr>
          <w:sz w:val="24"/>
        </w:rPr>
        <w:t xml:space="preserve"> = 0,8 x К</w:t>
      </w:r>
      <w:r>
        <w:rPr>
          <w:sz w:val="24"/>
          <w:vertAlign w:val="subscript"/>
        </w:rPr>
        <w:t xml:space="preserve">рег</w:t>
      </w:r>
      <w:r>
        <w:rPr>
          <w:sz w:val="24"/>
        </w:rPr>
        <w:t xml:space="preserve"> + 0,2 x О</w:t>
      </w:r>
      <w:r>
        <w:rPr>
          <w:sz w:val="24"/>
          <w:vertAlign w:val="subscript"/>
        </w:rPr>
        <w:t xml:space="preserve">э</w:t>
      </w:r>
      <w:r>
        <w:rPr>
          <w:sz w:val="24"/>
        </w:rPr>
        <w:t xml:space="preserve">,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 О</w:t>
      </w:r>
      <w:r>
        <w:rPr>
          <w:sz w:val="24"/>
          <w:vertAlign w:val="subscript"/>
        </w:rPr>
        <w:t xml:space="preserve">э</w:t>
      </w:r>
      <w:r>
        <w:rPr>
          <w:sz w:val="24"/>
        </w:rPr>
        <w:t xml:space="preserve"> - значение экспертной оценки конкурсной заявки.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9. Экспертная оценка осуществляется в соответствии с экспертными мнениями простого большинства членов подкомиссии следующим образом: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3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71550" cy="5600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  <pic:nvPr/>
                      </pic:nvPicPr>
                      <pic:blipFill>
                        <a:blip r:embed="rId10">
                          <a:extLst>
                            <a:ext uri="{96DAC541-7B7A-43D3-8B79-37D633B846F1}">
                              <asvg:svgBlip xmlns:asvg="http://schemas.microsoft.com/office/drawing/2016/SVG/main" r:embed="rId11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971550" cy="560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76.50pt;height:44.10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N - общее число опросных листов, заполненных членами подкомиссии;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P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 - значение экспертной оценки конкурсной заявки i-м членом подкомиссии (от 1 до 10 баллов), при этом лучшей, по мнению i-го члена подкомиссии, конкурсной заявке присваивается наибольшее количество баллов.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Выставление экспертной оценки осуществляется членами подкомиссии после ознакомления с конкурсной заявкой практики и приложениями к ней.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10. При выставлении экспертной оценки членами подкомиссии учитываются следующие факторы: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а) исходные предпосылки реализации практики и принципиальные подходы, избранные при разработке и внедрении практики в муниципальном образовании;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б) уникальные преимущества и сильные стороны практики, выделяющие ее из ряда подобных;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в) возможность повторения (тиражирования) практики в других муниципальных образованиях.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11. По каждой категории участников конкурса определяется по 5 победителей конкурса, набравших наибольшее количество баллов в соответствии с </w:t>
      </w:r>
      <w:hyperlink w:tooltip="8. Оценка конкурсных заявок на федеральном этапе конкурса осуществляется в отношении 10 конкурсных заявок в каждой категории участников конкурса, набравших в соответствии с пунктами 3 и 6 настоящей Методики наибольшее количество баллов, и рассчитывается по формуле:" w:anchor="P63" w:history="0">
        <w:r>
          <w:rPr>
            <w:color w:val="0000ff"/>
            <w:sz w:val="24"/>
          </w:rPr>
          <w:t xml:space="preserve">пунктом 8</w:t>
        </w:r>
      </w:hyperlink>
      <w:r>
        <w:rPr>
          <w:sz w:val="24"/>
        </w:rPr>
        <w:t xml:space="preserve"> настоящей Методики, среди которых распределяются первое - пятое места победителей конкурса.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  <w:outlineLvl w:val="1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Методике оценки конкурсных заявок</w:t>
      </w:r>
    </w:p>
    <w:p>
      <w:pPr>
        <w:pStyle w:val="0"/>
        <w:jc w:val="right"/>
      </w:pPr>
      <w:r>
        <w:rPr>
          <w:sz w:val="24"/>
        </w:rPr>
        <w:t xml:space="preserve">муниципальных образований, представляемых</w:t>
      </w:r>
    </w:p>
    <w:p>
      <w:pPr>
        <w:pStyle w:val="0"/>
        <w:jc w:val="right"/>
      </w:pPr>
      <w:r>
        <w:rPr>
          <w:sz w:val="24"/>
        </w:rPr>
        <w:t xml:space="preserve">для участия во Всероссийском конкурсе</w:t>
      </w:r>
    </w:p>
    <w:p>
      <w:pPr>
        <w:pStyle w:val="0"/>
        <w:jc w:val="right"/>
      </w:pPr>
      <w:r>
        <w:rPr>
          <w:sz w:val="24"/>
        </w:rPr>
        <w:t xml:space="preserve">"Лучшая муниципальная практика"</w:t>
      </w:r>
    </w:p>
    <w:p>
      <w:pPr>
        <w:pStyle w:val="0"/>
        <w:jc w:val="right"/>
      </w:pPr>
      <w:r>
        <w:rPr>
          <w:sz w:val="24"/>
        </w:rPr>
        <w:t xml:space="preserve">по номинации "Укрепление межнационального</w:t>
      </w:r>
    </w:p>
    <w:p>
      <w:pPr>
        <w:pStyle w:val="0"/>
        <w:jc w:val="right"/>
      </w:pPr>
      <w:r>
        <w:rPr>
          <w:sz w:val="24"/>
        </w:rPr>
        <w:t xml:space="preserve">мира и согласия, реализация иных</w:t>
      </w:r>
    </w:p>
    <w:p>
      <w:pPr>
        <w:pStyle w:val="0"/>
        <w:jc w:val="right"/>
      </w:pPr>
      <w:r>
        <w:rPr>
          <w:sz w:val="24"/>
        </w:rPr>
        <w:t xml:space="preserve">мероприятий в сфере национальной политики</w:t>
      </w:r>
    </w:p>
    <w:p>
      <w:pPr>
        <w:pStyle w:val="0"/>
        <w:jc w:val="right"/>
      </w:pPr>
      <w:r>
        <w:rPr>
          <w:sz w:val="24"/>
        </w:rPr>
        <w:t xml:space="preserve">на муниципальном уровне", утвержденной</w:t>
      </w:r>
    </w:p>
    <w:p>
      <w:pPr>
        <w:pStyle w:val="0"/>
        <w:jc w:val="right"/>
      </w:pPr>
      <w:r>
        <w:rPr>
          <w:sz w:val="24"/>
        </w:rPr>
        <w:t xml:space="preserve">приказом Федерального агентства</w:t>
      </w:r>
    </w:p>
    <w:p>
      <w:pPr>
        <w:pStyle w:val="0"/>
        <w:jc w:val="right"/>
      </w:pPr>
      <w:r>
        <w:rPr>
          <w:sz w:val="24"/>
        </w:rPr>
        <w:t xml:space="preserve">по делам национальностей</w:t>
      </w:r>
    </w:p>
    <w:p>
      <w:pPr>
        <w:pStyle w:val="0"/>
        <w:jc w:val="right"/>
      </w:pPr>
      <w:r>
        <w:rPr>
          <w:sz w:val="24"/>
        </w:rPr>
        <w:t xml:space="preserve">от 27.03.2026 N 43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99" w:name="P99"/>
    <w:bookmarkEnd w:id="99"/>
    <w:p>
      <w:pPr>
        <w:pStyle w:val="2"/>
        <w:jc w:val="center"/>
      </w:pPr>
      <w:r>
        <w:rPr>
          <w:sz w:val="24"/>
        </w:rPr>
        <w:t xml:space="preserve">ПАРАМЕТРЫ</w:t>
      </w:r>
    </w:p>
    <w:p>
      <w:pPr>
        <w:pStyle w:val="2"/>
        <w:jc w:val="center"/>
      </w:pPr>
      <w:r>
        <w:rPr>
          <w:sz w:val="24"/>
        </w:rPr>
        <w:t xml:space="preserve">ОЦЕНКИ КОНКУРСНЫХ ЗАЯВОК МУНИЦИПАЛЬНЫХ ОБРАЗОВАНИЙ,</w:t>
      </w:r>
    </w:p>
    <w:p>
      <w:pPr>
        <w:pStyle w:val="2"/>
        <w:jc w:val="center"/>
      </w:pPr>
      <w:r>
        <w:rPr>
          <w:sz w:val="24"/>
        </w:rPr>
        <w:t xml:space="preserve">ПРЕДСТАВЛЯЕМЫХ ДЛЯ УЧАСТИЯ ВО ВСЕРОССИЙСКОМ КОНКУРСЕ</w:t>
      </w:r>
    </w:p>
    <w:p>
      <w:pPr>
        <w:pStyle w:val="2"/>
        <w:jc w:val="center"/>
      </w:pPr>
      <w:r>
        <w:rPr>
          <w:sz w:val="24"/>
        </w:rPr>
        <w:t xml:space="preserve">"ЛУЧШАЯ МУНИЦИПАЛЬНАЯ ПРАКТИКА" ПО НОМИНАЦИИ "УКРЕПЛЕНИЕ</w:t>
      </w:r>
    </w:p>
    <w:p>
      <w:pPr>
        <w:pStyle w:val="2"/>
        <w:jc w:val="center"/>
      </w:pPr>
      <w:r>
        <w:rPr>
          <w:sz w:val="24"/>
        </w:rPr>
        <w:t xml:space="preserve">МЕЖНАЦИОНАЛЬНОГО МИРА И СОГЛАСИЯ, РЕАЛИЗАЦИЯ ИНЫХ</w:t>
      </w:r>
    </w:p>
    <w:p>
      <w:pPr>
        <w:pStyle w:val="2"/>
        <w:jc w:val="center"/>
      </w:pPr>
      <w:r>
        <w:rPr>
          <w:sz w:val="24"/>
        </w:rPr>
        <w:t xml:space="preserve">МЕРОПРИЯТИЙ В СФЕРЕ НАЦИОНАЛЬНОЙ ПОЛИТИКИ</w:t>
      </w:r>
    </w:p>
    <w:p>
      <w:pPr>
        <w:pStyle w:val="2"/>
        <w:jc w:val="center"/>
      </w:pPr>
      <w:r>
        <w:rPr>
          <w:sz w:val="24"/>
        </w:rPr>
        <w:t xml:space="preserve">НА МУНИЦИПАЛЬНОМ УРОВНЕ"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566"/>
        <w:gridCol w:w="2834"/>
        <w:gridCol w:w="5669"/>
      </w:tblGrid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283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Параметр оценки</w:t>
            </w:r>
          </w:p>
        </w:tc>
        <w:tc>
          <w:tcPr>
            <w:tcW w:w="566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Значение параметра оценки (П)</w:t>
            </w:r>
          </w:p>
        </w:tc>
      </w:tr>
      <w:tr>
        <w:tc>
          <w:tcPr>
            <w:tcW w:w="566" w:type="dxa"/>
            <w:vMerge w:val="restart"/>
          </w:tcPr>
          <w:bookmarkStart w:id="110" w:name="P110"/>
          <w:bookmarkEnd w:id="110"/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83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Укрепление общероссийской гражданской идентичности на основе объединяющей роли традиционных российских духовно-нравственных и культурно-исторических ценностей:</w:t>
            </w:r>
          </w:p>
          <w:p>
            <w:pPr>
              <w:pStyle w:val="0"/>
            </w:pPr>
            <w:r>
              <w:rPr>
                <w:sz w:val="24"/>
              </w:rPr>
              <w:t xml:space="preserve">- защита, поддержка и развитие русского языка как государственного языка Российской Федерации, как языка государствообразующего народа и как родного языка, а также продвижение русского языка как языка межнационального общения;</w:t>
            </w:r>
          </w:p>
          <w:p>
            <w:pPr>
              <w:pStyle w:val="0"/>
            </w:pPr>
            <w:r>
              <w:rPr>
                <w:sz w:val="24"/>
              </w:rPr>
              <w:t xml:space="preserve">- формирование у детей и молодежи на всех этапах образовательного и воспитательного процессов гражданского самосознания, представлений о единстве многонационального народа Российской Федерации (российской нации), воспитанию патриотизма;</w:t>
            </w:r>
          </w:p>
          <w:p>
            <w:pPr>
              <w:pStyle w:val="0"/>
            </w:pPr>
            <w:r>
              <w:rPr>
                <w:sz w:val="24"/>
              </w:rPr>
              <w:t xml:space="preserve">- сохранение и развитие культуры межнациональных (межэтнических) отношений, защита исторической правды и исторической памяти, традиционных российских духовно-нравственных и культурно-исторических ценностей</w:t>
            </w:r>
          </w:p>
        </w:tc>
        <w:tc>
          <w:tcPr>
            <w:tcW w:w="5669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  <w:r>
              <w:rPr>
                <w:sz w:val="24"/>
                <w:vertAlign w:val="subscript"/>
              </w:rPr>
              <w:t xml:space="preserve">1</w:t>
            </w:r>
            <w:r>
              <w:rPr>
                <w:sz w:val="24"/>
              </w:rPr>
              <w:t xml:space="preserve"> = 1,2 x (1.1.1. + 1.1.2. + 1.2.1. + 1.2.2. + 1.2.3. + 1.2.4. + 1.3.1. + 1.3.2. + 1.3.3. + 1.3.4.) = &lt;...&gt; (здесь и далее вместо обозначения "&lt;...&gt;" указываются значения параметров оценки), где: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669" w:type="dxa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1.1.1. Проведены культурные, образовательные и научно-просветительские мероприятия, направленные на укрепление позиций русского языка, в том числе в информационно-телекоммуникационной сети "Интернет" (да = 10 баллов, нет = 0 баллов).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1.1.2. Оказана поддержка переводу на русский язык произведений, созданных на языках народов России, их изданию и распространению (да = 10 баллов, нет = 0 баллов).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1.2.1. Проведены мероприятия, посвященные государственным праздникам Российской Федерации, памятным датам и памятным дням, формирующие у детей и молодежи чувство общности, принадлежности к истории страны и ее достижениям (да = 10 баллов, нет = 0 баллов).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1.2.2. Организовано посещение детьми и молодежью объектов культурного наследия (памятников истории и культуры) народов Российской Федерации, памятных мест, городов-героев, городов воинской славы и трудовой доблести (да = 10 баллов, нет = 0 баллов).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1.2.3. Реализованы проекты, направленные на сближение поколений и передачу традиционных российских духовно-нравственных ценностей от старших поколений младшим, на укрепление гражданского единства, приобщение молодежи к культуре и традициям народов России (да = 10 баллов, нет = 0 баллов).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1.2.4. Проведены мероприятия, направленные на противодействие распространению ксенофобии, идеологий нацизма, экстремизма и терроризма среди детей и молодежи (да = 10 баллов, нет = 0 баллов).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1.3.1. Проведены мероприятия, направленные на утверждение идей патриотизма, служения Отечеству и ответственности за его судьбу, исторического гражданского единства и дружбы народов, межнационального (межэтнического) согласия (да = 10 баллов, нет = 0 баллов).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1.3.2. Проведены мероприятия, направленные на распространение в обществе установок неприятия и недопущения пропаганды и оправдания неонацизма, расизма, экстремизма и ксенофобии, национальной исключительности (да = 10 баллов, нет = 0 баллов).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1.3.3. Проведены мероприятия, посвященные значимым событиям истории России, включая историю государствообразующего русского народа и других народов России, предупреждение и противодействие фальсификации истории (да = 10 баллов, нет = 0 баллов).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1.3.4. Реализованы проекты, направленные на сохранение и укрепление традиционных российских духовно-нравственных ценностей как основы общероссийской гражданской идентичности (гражданского самосознания) и российской самобытности, межкультурного и межнационального (межэтнического) взаимодействия (да = 10 баллов, нет = 0 баллов).</w:t>
            </w:r>
          </w:p>
        </w:tc>
      </w:tr>
      <w:tr>
        <w:tc>
          <w:tcPr>
            <w:tcW w:w="56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283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Сохранение и поддержка этнокультурного и языкового многообразия Российской Федерации:</w:t>
            </w:r>
          </w:p>
          <w:p>
            <w:pPr>
              <w:pStyle w:val="0"/>
            </w:pPr>
            <w:r>
              <w:rPr>
                <w:sz w:val="24"/>
              </w:rPr>
              <w:t xml:space="preserve">- этнокультурное и духовное развитие народов Российской Федерации;</w:t>
            </w:r>
          </w:p>
          <w:p>
            <w:pPr>
              <w:pStyle w:val="0"/>
            </w:pPr>
            <w:r>
              <w:rPr>
                <w:sz w:val="24"/>
              </w:rPr>
              <w:t xml:space="preserve">- укрепление объединяющей роли русского народа как государствообразующего народа;</w:t>
            </w:r>
          </w:p>
          <w:p>
            <w:pPr>
              <w:pStyle w:val="0"/>
            </w:pPr>
            <w:r>
              <w:rPr>
                <w:sz w:val="24"/>
              </w:rPr>
              <w:t xml:space="preserve">- сохранение самобытной культуры, традиционного образа жизни и поддержка традиционной хозяйственной деятельности коренных малочисленных народов Российской Федерации</w:t>
            </w:r>
          </w:p>
        </w:tc>
        <w:tc>
          <w:tcPr>
            <w:tcW w:w="5669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  <w:r>
              <w:rPr>
                <w:sz w:val="24"/>
                <w:vertAlign w:val="subscript"/>
              </w:rPr>
              <w:t xml:space="preserve">2</w:t>
            </w:r>
            <w:r>
              <w:rPr>
                <w:sz w:val="24"/>
              </w:rPr>
              <w:t xml:space="preserve"> = 0,8 x (2.1.1. + 2.1.2. + 2.1.3. + 2.1.4. + 2.1.5. + 2.2.1. + 2.2.2. + 2.2.3. + 2.2.4. + 2.2.5. + 2.3.1. + 2.3.2.) = &lt;...&gt;, где: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669" w:type="dxa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2.1.1. Проведены мероприятия, способствующие созданию условий для использования, сохранения и развития языков народов Российской Федерации, а также изучению родного языка и других языков народов Российской Федерации (да = 10 баллов, нет = 0 баллов).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2.1.2. Проведены мероприятия, способствующие сохранению и популяризации нематериального этнокультурного достояния Российской Федерации, народного художественного творчества, сохранению и развитию народных промыслов и ремесел (да = 10 баллов, нет = 0 баллов).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2.1.3. Проведены мероприятия, направленные на популяризацию и распространение произведений литературы и искусства народов Российской Федерации, организованы художественные выставки, фестивали, конкурсы, гастроли творческих коллективов и другие мероприятия в области культуры (да = 10 баллов, нет = 0 баллов).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2.1.4. Проведены мероприятия, способствующие развитию национальных видов спорта (да = 10 баллов, нет = 0 баллов).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2.1.5. Разработаны туристские маршруты и экскурсионные программы, популяризирующие этнокультурное многообразие России и включающие в себя посещение музеев и объектов культурного наследия (памятников истории и культуры) народов Российской Федерации (да = 10 баллов, нет = 0 баллов).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2.2.1. Обеспечены благоприятные условия для сохранения и развития культуры русского народа (да = 10 баллов, нет = 0 баллов).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2.2.2. Реализованы проекты в области сохранения и развития нематериального этнокультурного достояния русского народа (да = 10 баллов, нет = 0 баллов).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2.2.3. Проведены фестивали, конкурсы, выставки, ярмарки, праздники, творческие лаборатории, форумы, иные мероприятия, направленные на сохранение и развитие культуры русского народа (да = 10 баллов, нет = 0 баллов).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2.2.4. Действуют профессиональные и любительские коллективы народного творчества, способствующие популяризации культуры русского народа (да = 10 баллов, нет = 0 баллов).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2.2.5. В мероприятиях, посвященных русской культуре и литературе, участвуют постоянно проживающие в Российской Федерации иностранные граждане (да = 10 баллов, нет = 0 баллов).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2.3.1. Оказана поддержка традиционной хозяйственной деятельности и промыслов коренных малочисленных народов Российской Федерации (да = 10 баллов, нет = 0 баллов).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2.3.2. Проведены мероприятия, направленные на сохранение культуры, языков и традиций коренных малочисленных народов Российской Федерации (да = 10 баллов, нет = 0 баллов).</w:t>
            </w:r>
          </w:p>
        </w:tc>
      </w:tr>
      <w:tr>
        <w:tc>
          <w:tcPr>
            <w:tcW w:w="56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283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Обеспечение межнационального (межэтнического) и межрелигиозного согласия, противодействие экстремизму и возникновению конфликтов на национальной (этнической) и (или) религиозной почве</w:t>
            </w:r>
          </w:p>
        </w:tc>
        <w:tc>
          <w:tcPr>
            <w:tcW w:w="5669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  <w:r>
              <w:rPr>
                <w:sz w:val="24"/>
                <w:vertAlign w:val="subscript"/>
              </w:rPr>
              <w:t xml:space="preserve">3</w:t>
            </w:r>
            <w:r>
              <w:rPr>
                <w:sz w:val="24"/>
              </w:rPr>
              <w:t xml:space="preserve"> = 1,1 x (3.1. + 3.2. + 3.3. + 3.4.) = &lt;...&gt;, где: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669" w:type="dxa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3.1. Проведены просветительские мероприятия, направленные на предупреждение экстремистских, в том числе сепаратистских проявлений, распространения религиозного, национального радикализма (да = 10 баллов, нет = 0 баллов).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3.2. Проведены мероприятия для адаптации иностранных граждан и их несовершеннолетних детей, способствующие успешному освоению ими русского языка; усвоению общепризнанных в российском обществе норм поведения, формированию у них присущих российскому обществу правосознания и правовой культуры, приобщению их к традиционным российским духовно-нравственным ценностям (да = 10 баллов, нет = 0 баллов).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3.3. В проведение мероприятий по укреплению гражданского единства, гармонизации межнациональных (межэтнических) отношений и профилактике экстремизма, предупреждению конфликтов на национальной (этнической) и (или) религиозной почве вовлечены институты гражданского общества, в том числе молодежные и детские общественные объединения (да = 10 баллов, нет = 0 баллов).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3.4. При органах местного самоуправления действуют общественные советы либо иные консультативные органы по укреплению общероссийской гражданской идентичности (гражданского самосознания), гармонизации межнациональных (межэтнических) и межрелигиозных отношений, содействию адаптации иностранных граждан в Российской Федерации (да = 10 баллов, нет = 0 баллов).</w:t>
            </w:r>
          </w:p>
        </w:tc>
      </w:tr>
      <w:tr>
        <w:tc>
          <w:tcPr>
            <w:tcW w:w="56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283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Информационное сопровождение муниципальной практики</w:t>
            </w:r>
          </w:p>
        </w:tc>
        <w:tc>
          <w:tcPr>
            <w:tcW w:w="5669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  <w:r>
              <w:rPr>
                <w:sz w:val="24"/>
                <w:vertAlign w:val="subscript"/>
              </w:rPr>
              <w:t xml:space="preserve">4</w:t>
            </w:r>
            <w:r>
              <w:rPr>
                <w:sz w:val="24"/>
              </w:rPr>
              <w:t xml:space="preserve"> = 4.1. + 4.2. = &lt;...&gt;, где: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669" w:type="dxa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4.1. Осуществлялось информационное сопровождение муниципальной практики в социальных сетях и блогах (да = 10 баллов, нет = 0 баллов).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4.2. Информация о проведенных мероприятиях размещена представителями муниципального образования на портале национальнаяполитика.рф. (да = 10 баллов, нет = 0 баллов).</w:t>
            </w:r>
          </w:p>
        </w:tc>
      </w:tr>
      <w:tr>
        <w:tc>
          <w:tcPr>
            <w:tcW w:w="566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283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Оценка эффективности муниципальной практики</w:t>
            </w:r>
          </w:p>
        </w:tc>
        <w:tc>
          <w:tcPr>
            <w:tcW w:w="5669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  <w:r>
              <w:rPr>
                <w:sz w:val="24"/>
                <w:vertAlign w:val="subscript"/>
              </w:rPr>
              <w:t xml:space="preserve">5</w:t>
            </w:r>
            <w:r>
              <w:rPr>
                <w:sz w:val="24"/>
              </w:rPr>
              <w:t xml:space="preserve"> = 5.1. + 5.2 = &lt;...&gt;, где: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669" w:type="dxa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5.1. В отчетном году в муниципальном образовании отсутствовали конфликтные ситуации на национальной и религиозной почве (да = 10 баллов, нет = 0 баллов).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5.2. Реализованная муниципальная практика получила позитивное освещение в средствах массовой информации на местном, региональном или общероссийском уровне (да = 10 баллов, нет = 0 баллов).</w:t>
            </w:r>
          </w:p>
        </w:tc>
      </w:tr>
      <w:tr>
        <w:tc>
          <w:tcPr>
            <w:tcW w:w="566" w:type="dxa"/>
            <w:vMerge w:val="restart"/>
          </w:tcPr>
          <w:bookmarkStart w:id="161" w:name="P161"/>
          <w:bookmarkEnd w:id="161"/>
          <w:p>
            <w:pPr>
              <w:pStyle w:val="0"/>
              <w:jc w:val="center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2834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Оценка качества конкурсной заявки</w:t>
            </w:r>
          </w:p>
        </w:tc>
        <w:tc>
          <w:tcPr>
            <w:tcW w:w="5669" w:type="dxa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</w:t>
            </w:r>
            <w:r>
              <w:rPr>
                <w:sz w:val="24"/>
                <w:vertAlign w:val="subscript"/>
              </w:rPr>
              <w:t xml:space="preserve">6</w:t>
            </w:r>
            <w:r>
              <w:rPr>
                <w:sz w:val="24"/>
              </w:rPr>
              <w:t xml:space="preserve"> = 6.1. + 6.2. + 6.3. = &lt;...&gt;, где:</w:t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669" w:type="dxa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6.1. Представлен развернутый поэтапный перечень мероприятий, которые были предприняты для того, чтобы реализовать муниципальную практику ("дорожная карта") (да = 50 баллов, нет = 0 баллов).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6.2. Презентационные материалы отличаются наглядностью и высоким качеством, использованы схемы, карты, диаграммы (да = 50 баллов, нет = 0 баллов).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6.3. Реализованная муниципальная практика тиражируема (да = 50 баллов, нет = 0 баллов).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приказу Федерального агентства</w:t>
      </w:r>
    </w:p>
    <w:p>
      <w:pPr>
        <w:pStyle w:val="0"/>
        <w:jc w:val="right"/>
      </w:pPr>
      <w:r>
        <w:rPr>
          <w:sz w:val="24"/>
        </w:rPr>
        <w:t xml:space="preserve">по делам национальностей</w:t>
      </w:r>
    </w:p>
    <w:p>
      <w:pPr>
        <w:pStyle w:val="0"/>
        <w:jc w:val="right"/>
      </w:pPr>
      <w:r>
        <w:rPr>
          <w:sz w:val="24"/>
        </w:rPr>
        <w:t xml:space="preserve">от 27.03.2026 N 43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677"/>
        <w:gridCol w:w="340"/>
        <w:gridCol w:w="2265"/>
        <w:gridCol w:w="340"/>
        <w:gridCol w:w="4454"/>
      </w:tblGrid>
      <w:tr>
        <w:tc>
          <w:tcPr>
            <w:tcW w:w="9076" w:type="dxa"/>
            <w:gridSpan w:val="5"/>
            <w:tcBorders>
              <w:top w:val="none"/>
              <w:left w:val="none"/>
              <w:bottom w:val="none"/>
              <w:right w:val="none"/>
            </w:tcBorders>
          </w:tcPr>
          <w:bookmarkStart w:id="179" w:name="P179"/>
          <w:bookmarkEnd w:id="179"/>
          <w:p>
            <w:pPr>
              <w:pStyle w:val="0"/>
              <w:jc w:val="center"/>
            </w:pPr>
            <w:r>
              <w:rPr>
                <w:sz w:val="24"/>
              </w:rPr>
              <w:t xml:space="preserve">КОНКУРСНАЯ ЗАЯВКА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МУНИЦИПАЛЬНОГО ОБРАЗОВАНИЯ,</w:t>
            </w:r>
          </w:p>
        </w:tc>
      </w:tr>
      <w:tr>
        <w:tc>
          <w:tcPr>
            <w:tcW w:w="9076" w:type="dxa"/>
            <w:gridSpan w:val="5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представляемая для участия во Всероссийском конкурсе "Лучшая муниципальная практика" по номинации "Укрепление межнационального мира и согласия, реализация иных мероприятий в сфере национальной политики на муниципальном уровне"</w:t>
            </w:r>
          </w:p>
        </w:tc>
      </w:tr>
      <w:tr>
        <w:tc>
          <w:tcPr>
            <w:tcW w:w="9076" w:type="dxa"/>
            <w:gridSpan w:val="5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  <w:tr>
        <w:tc>
          <w:tcPr>
            <w:tcW w:w="9076" w:type="dxa"/>
            <w:gridSpan w:val="5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6" w:type="dxa"/>
            <w:gridSpan w:val="5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муниципального образования)</w:t>
            </w:r>
          </w:p>
        </w:tc>
      </w:tr>
      <w:tr>
        <w:tc>
          <w:tcPr>
            <w:tcW w:w="9076" w:type="dxa"/>
            <w:gridSpan w:val="5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6" w:type="dxa"/>
            <w:gridSpan w:val="5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(субъект Российской Федерации)</w:t>
            </w:r>
          </w:p>
        </w:tc>
      </w:tr>
      <w:tr>
        <w:tc>
          <w:tcPr>
            <w:tcW w:w="9076" w:type="dxa"/>
            <w:gridSpan w:val="5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Прошу организовать рассмотрение настоящей конкурсной заявки муниципального образования, представляемой для участия во Всероссийском конкурсе "Лучшая муниципальная практика" номинации "Укрепление межнационального мира и согласия, реализация иных мероприятий в сфере национальной политики на муниципальном уровне" (далее соответственно - конкурс, конкурсная заявка).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 условиями и требованиями конкурса, предусмотренными </w:t>
            </w:r>
            <w:hyperlink r:id="rId12" w:tooltip="Постановление Правительства РФ от 18.08.2016 N 815 (ред. от 14.05.2025) &quot;О Всероссийском конкурсе &quot;Лучшая муниципальная практика&quot; (вместе с &quot;Положением о Всероссийском конкурсе &quot;Лучшая муниципальная практика&quot;) {КонсультантПлюс}" w:history="0">
              <w:r>
                <w:rPr>
                  <w:color w:val="0000ff"/>
                  <w:sz w:val="24"/>
                </w:rPr>
                <w:t xml:space="preserve">постановлением</w:t>
              </w:r>
            </w:hyperlink>
            <w:r>
              <w:rPr>
                <w:sz w:val="24"/>
              </w:rPr>
              <w:t xml:space="preserve"> Правительства Российской Федерации от 18 августа 2016 г. N 815 "О Всероссийском конкурсе "Лучшая муниципальная практика", ознакомлен (ознакомлена) и согласен (согласна).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С размещением презентационных материалов на официальном сайте Федерального агентства по делам национальностей в информационно-телекоммуникационной сети "Интернет" согласен (согласна).</w:t>
            </w:r>
          </w:p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По вопросам участия прошу взаимодействовать с</w:t>
            </w:r>
          </w:p>
        </w:tc>
      </w:tr>
      <w:tr>
        <w:tc>
          <w:tcPr>
            <w:tcW w:w="9076" w:type="dxa"/>
            <w:gridSpan w:val="5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6" w:type="dxa"/>
            <w:gridSpan w:val="5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(фамилия, имя и отчество (при наличии), должность лица (при наличии),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номер телефона и адрес электронной почты (при наличии)</w:t>
            </w:r>
          </w:p>
        </w:tc>
      </w:tr>
      <w:tr>
        <w:tc>
          <w:tcPr>
            <w:tcW w:w="9076" w:type="dxa"/>
            <w:gridSpan w:val="5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Достоверность (действительность) сведений, указанных в настоящей конкурсной заявке, гарантирую.</w:t>
            </w:r>
          </w:p>
        </w:tc>
      </w:tr>
      <w:tr>
        <w:tc>
          <w:tcPr>
            <w:tcW w:w="2017" w:type="dxa"/>
            <w:gridSpan w:val="2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Приложение:</w:t>
            </w:r>
          </w:p>
        </w:tc>
        <w:tc>
          <w:tcPr>
            <w:tcW w:w="7059" w:type="dxa"/>
            <w:gridSpan w:val="3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1. Сведения об основных характеристиках муниципальной практики для оценки конкурсной заявки (оформляются в соответствии с </w:t>
            </w:r>
            <w:hyperlink w:tooltip="Сведения" w:anchor="P248" w:history="0">
              <w:r>
                <w:rPr>
                  <w:color w:val="0000ff"/>
                  <w:sz w:val="24"/>
                </w:rPr>
                <w:t xml:space="preserve">приложением</w:t>
              </w:r>
            </w:hyperlink>
            <w:r>
              <w:rPr>
                <w:sz w:val="24"/>
              </w:rPr>
              <w:t xml:space="preserve"> к настоящей форме) на электронном носителе в 1 экз.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2. Презентация конкурсной заявки на электронном носителе в 1 экз.</w:t>
            </w:r>
          </w:p>
        </w:tc>
      </w:tr>
      <w:tr>
        <w:tc>
          <w:tcPr>
            <w:tcW w:w="9076" w:type="dxa"/>
            <w:gridSpan w:val="5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282" w:type="dxa"/>
            <w:gridSpan w:val="3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Глава муниципального образования</w:t>
            </w:r>
          </w:p>
        </w:tc>
        <w:tc>
          <w:tcPr>
            <w:tcW w:w="4794" w:type="dxa"/>
            <w:gridSpan w:val="2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282" w:type="dxa"/>
            <w:gridSpan w:val="3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794" w:type="dxa"/>
            <w:gridSpan w:val="2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фамилия, имя, отчество (при наличии)</w:t>
            </w:r>
          </w:p>
        </w:tc>
      </w:tr>
      <w:tr>
        <w:tc>
          <w:tcPr>
            <w:tcW w:w="1677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65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454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677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(дата)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65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454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(расшифровка подписи)</w:t>
            </w:r>
          </w:p>
        </w:tc>
      </w:tr>
      <w:tr>
        <w:tc>
          <w:tcPr>
            <w:tcW w:w="9076" w:type="dxa"/>
            <w:gridSpan w:val="5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6" w:type="dxa"/>
            <w:gridSpan w:val="5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баллов, присвоенных конкурсной заявке региональным организатором: _____</w:t>
            </w:r>
          </w:p>
        </w:tc>
      </w:tr>
      <w:tr>
        <w:tc>
          <w:tcPr>
            <w:tcW w:w="9076" w:type="dxa"/>
            <w:gridSpan w:val="5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6" w:type="dxa"/>
            <w:gridSpan w:val="5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СОГЛАСОВАНО</w:t>
            </w:r>
          </w:p>
        </w:tc>
      </w:tr>
      <w:tr>
        <w:tc>
          <w:tcPr>
            <w:tcW w:w="9076" w:type="dxa"/>
            <w:gridSpan w:val="5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6" w:type="dxa"/>
            <w:gridSpan w:val="5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должности визирующего должностного лица, ответственного в субъекте Российской Федерации за предоставление конкурсной заявки на федеральный этап конкурса)</w:t>
            </w:r>
          </w:p>
        </w:tc>
      </w:tr>
      <w:tr>
        <w:tc>
          <w:tcPr>
            <w:tcW w:w="1677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65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454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1677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(дата)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65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454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(расшифровка подписи)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  <w:outlineLvl w:val="1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форме конкурсной заявки</w:t>
      </w:r>
    </w:p>
    <w:p>
      <w:pPr>
        <w:pStyle w:val="0"/>
        <w:jc w:val="right"/>
      </w:pPr>
      <w:r>
        <w:rPr>
          <w:sz w:val="24"/>
        </w:rPr>
        <w:t xml:space="preserve">муниципального образования,</w:t>
      </w:r>
    </w:p>
    <w:p>
      <w:pPr>
        <w:pStyle w:val="0"/>
        <w:jc w:val="right"/>
      </w:pPr>
      <w:r>
        <w:rPr>
          <w:sz w:val="24"/>
        </w:rPr>
        <w:t xml:space="preserve">представляемой для участия</w:t>
      </w:r>
    </w:p>
    <w:p>
      <w:pPr>
        <w:pStyle w:val="0"/>
        <w:jc w:val="right"/>
      </w:pPr>
      <w:r>
        <w:rPr>
          <w:sz w:val="24"/>
        </w:rPr>
        <w:t xml:space="preserve">во Всероссийском конкурсе "Лучшая</w:t>
      </w:r>
    </w:p>
    <w:p>
      <w:pPr>
        <w:pStyle w:val="0"/>
        <w:jc w:val="right"/>
      </w:pPr>
      <w:r>
        <w:rPr>
          <w:sz w:val="24"/>
        </w:rPr>
        <w:t xml:space="preserve">муниципальная практика" по номинации</w:t>
      </w:r>
    </w:p>
    <w:p>
      <w:pPr>
        <w:pStyle w:val="0"/>
        <w:jc w:val="right"/>
      </w:pPr>
      <w:r>
        <w:rPr>
          <w:sz w:val="24"/>
        </w:rPr>
        <w:t xml:space="preserve">"Укрепление межнационального мира</w:t>
      </w:r>
    </w:p>
    <w:p>
      <w:pPr>
        <w:pStyle w:val="0"/>
        <w:jc w:val="right"/>
      </w:pPr>
      <w:r>
        <w:rPr>
          <w:sz w:val="24"/>
        </w:rPr>
        <w:t xml:space="preserve">и согласия, реализация иных мероприятий</w:t>
      </w:r>
    </w:p>
    <w:p>
      <w:pPr>
        <w:pStyle w:val="0"/>
        <w:jc w:val="right"/>
      </w:pPr>
      <w:r>
        <w:rPr>
          <w:sz w:val="24"/>
        </w:rPr>
        <w:t xml:space="preserve">в сфере национальной политики</w:t>
      </w:r>
    </w:p>
    <w:p>
      <w:pPr>
        <w:pStyle w:val="0"/>
        <w:jc w:val="right"/>
      </w:pPr>
      <w:r>
        <w:rPr>
          <w:sz w:val="24"/>
        </w:rPr>
        <w:t xml:space="preserve">на муниципальном уровне", утвержденное</w:t>
      </w:r>
    </w:p>
    <w:p>
      <w:pPr>
        <w:pStyle w:val="0"/>
        <w:jc w:val="right"/>
      </w:pPr>
      <w:r>
        <w:rPr>
          <w:sz w:val="24"/>
        </w:rPr>
        <w:t xml:space="preserve">приказом Федерального агентства</w:t>
      </w:r>
    </w:p>
    <w:p>
      <w:pPr>
        <w:pStyle w:val="0"/>
        <w:jc w:val="right"/>
      </w:pPr>
      <w:r>
        <w:rPr>
          <w:sz w:val="24"/>
        </w:rPr>
        <w:t xml:space="preserve">по делам национальностей</w:t>
      </w:r>
    </w:p>
    <w:p>
      <w:pPr>
        <w:pStyle w:val="0"/>
        <w:jc w:val="right"/>
      </w:pPr>
      <w:r>
        <w:rPr>
          <w:sz w:val="24"/>
        </w:rPr>
        <w:t xml:space="preserve">от 27.03.2026 N 43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413"/>
        <w:gridCol w:w="2120"/>
        <w:gridCol w:w="6543"/>
      </w:tblGrid>
      <w:tr>
        <w:tc>
          <w:tcPr>
            <w:tcW w:w="9076" w:type="dxa"/>
            <w:gridSpan w:val="3"/>
            <w:tcBorders>
              <w:top w:val="none"/>
              <w:left w:val="none"/>
              <w:bottom w:val="none"/>
              <w:right w:val="none"/>
            </w:tcBorders>
          </w:tcPr>
          <w:bookmarkStart w:id="248" w:name="P248"/>
          <w:bookmarkEnd w:id="248"/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об основных характеристиках муниципальной практики для оценки конкурсной заявки</w:t>
            </w:r>
          </w:p>
        </w:tc>
      </w:tr>
      <w:tr>
        <w:tc>
          <w:tcPr>
            <w:tcW w:w="9076" w:type="dxa"/>
            <w:gridSpan w:val="3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6" w:type="dxa"/>
            <w:gridSpan w:val="3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  <w:outlineLvl w:val="2"/>
            </w:pPr>
            <w:r>
              <w:rPr>
                <w:sz w:val="24"/>
              </w:rPr>
              <w:t xml:space="preserve">I. Основные сведения по муниципальному образованию</w:t>
            </w:r>
          </w:p>
        </w:tc>
      </w:tr>
      <w:tr>
        <w:tc>
          <w:tcPr>
            <w:tcW w:w="9076" w:type="dxa"/>
            <w:gridSpan w:val="3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6" w:type="dxa"/>
            <w:gridSpan w:val="3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(полное наименование муниципального образования и субъекта Российской Федерации)</w:t>
            </w:r>
          </w:p>
        </w:tc>
      </w:tr>
      <w:tr>
        <w:tc>
          <w:tcPr>
            <w:tcW w:w="413" w:type="dxa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</w:t>
            </w:r>
          </w:p>
        </w:tc>
        <w:tc>
          <w:tcPr>
            <w:tcW w:w="2120" w:type="dxa"/>
            <w:tcBorders>
              <w:top w:val="none"/>
              <w:left w:val="none"/>
              <w:bottom w:val="single" w:sz="4"/>
              <w:right w:val="none"/>
            </w:tcBorders>
            <w:vAlign w:val="bottom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6543" w:type="dxa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год.</w:t>
            </w:r>
          </w:p>
        </w:tc>
      </w:tr>
      <w:tr>
        <w:tc>
          <w:tcPr>
            <w:tcW w:w="413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20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(текущий год)</w:t>
            </w:r>
          </w:p>
        </w:tc>
        <w:tc>
          <w:tcPr>
            <w:tcW w:w="6543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6" w:type="dxa"/>
            <w:gridSpan w:val="3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  <w:outlineLvl w:val="3"/>
            </w:pPr>
            <w:r>
              <w:rPr>
                <w:sz w:val="24"/>
              </w:rPr>
              <w:t xml:space="preserve">1.1. Тип муниципального образования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2438"/>
        <w:gridCol w:w="5386"/>
        <w:gridCol w:w="1247"/>
      </w:tblGrid>
      <w:tr>
        <w:tc>
          <w:tcPr>
            <w:tcW w:w="243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Категория участника конкурса</w:t>
            </w:r>
          </w:p>
        </w:tc>
        <w:tc>
          <w:tcPr>
            <w:tcW w:w="538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Тип муниципального образования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Отметить нужное</w:t>
            </w:r>
          </w:p>
        </w:tc>
      </w:tr>
      <w:tr>
        <w:tc>
          <w:tcPr>
            <w:tcW w:w="243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I категория</w:t>
            </w:r>
          </w:p>
        </w:tc>
        <w:tc>
          <w:tcPr>
            <w:tcW w:w="538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муниципальный округ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538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городской округ (городской округ с внутригородским делением)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538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городское поселение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2438" w:type="dxa"/>
          </w:tcPr>
          <w:p>
            <w:pPr>
              <w:pStyle w:val="0"/>
            </w:pPr>
            <w:r>
              <w:rPr>
                <w:sz w:val="24"/>
              </w:rPr>
              <w:t xml:space="preserve">II категория</w:t>
            </w:r>
          </w:p>
        </w:tc>
        <w:tc>
          <w:tcPr>
            <w:tcW w:w="538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сельское поселение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9076"/>
      </w:tblGrid>
      <w:tr>
        <w:tc>
          <w:tcPr>
            <w:tcW w:w="9076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  <w:outlineLvl w:val="3"/>
            </w:pPr>
            <w:r>
              <w:rPr>
                <w:sz w:val="24"/>
              </w:rPr>
              <w:t xml:space="preserve">1.2. Население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7824"/>
        <w:gridCol w:w="1247"/>
      </w:tblGrid>
      <w:tr>
        <w:tc>
          <w:tcPr>
            <w:tcW w:w="7824" w:type="dxa"/>
            <w:tcBorders>
              <w:top w:val="single" w:sz="4"/>
              <w:bottom w:val="single" w:sz="4"/>
            </w:tcBorders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Количество физических лиц, зарегистрированных по месту жительства (пребывания) в муниципальном образовании</w:t>
            </w:r>
          </w:p>
          <w:p>
            <w:pPr>
              <w:pStyle w:val="0"/>
            </w:pPr>
            <w:r>
              <w:rPr>
                <w:sz w:val="24"/>
              </w:rPr>
              <w:t xml:space="preserve">(по состоянию на 1 января текущего года, тыс. чел.)</w:t>
            </w:r>
          </w:p>
        </w:tc>
        <w:tc>
          <w:tcPr>
            <w:tcW w:w="1247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9076"/>
      </w:tblGrid>
      <w:tr>
        <w:tc>
          <w:tcPr>
            <w:tcW w:w="9076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  <w:outlineLvl w:val="3"/>
            </w:pPr>
            <w:r>
              <w:rPr>
                <w:sz w:val="24"/>
              </w:rPr>
              <w:t xml:space="preserve">1.3. Иностранные граждане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7824"/>
        <w:gridCol w:w="1247"/>
      </w:tblGrid>
      <w:tr>
        <w:tc>
          <w:tcPr>
            <w:tcW w:w="7824" w:type="dxa"/>
            <w:tcBorders>
              <w:top w:val="single" w:sz="4"/>
              <w:bottom w:val="single" w:sz="4"/>
            </w:tcBorders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Количество иностранных граждан, зарегистрированных по месту жительства (пребывания) в муниципальном образовании</w:t>
            </w:r>
          </w:p>
          <w:p>
            <w:pPr>
              <w:pStyle w:val="0"/>
            </w:pPr>
            <w:r>
              <w:rPr>
                <w:sz w:val="24"/>
              </w:rPr>
              <w:t xml:space="preserve">(по состоянию на 1 января текущего года, чел.)</w:t>
            </w:r>
          </w:p>
        </w:tc>
        <w:tc>
          <w:tcPr>
            <w:tcW w:w="1247" w:type="dxa"/>
            <w:tcBorders>
              <w:top w:val="single" w:sz="4"/>
              <w:bottom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9076"/>
      </w:tblGrid>
      <w:tr>
        <w:tc>
          <w:tcPr>
            <w:tcW w:w="9076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  <w:outlineLvl w:val="3"/>
            </w:pPr>
            <w:r>
              <w:rPr>
                <w:sz w:val="24"/>
              </w:rPr>
              <w:t xml:space="preserve">1.4. Национальный состав (данные по состоянию на 1 января текущего года)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566"/>
        <w:gridCol w:w="3912"/>
        <w:gridCol w:w="4592"/>
      </w:tblGrid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391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Этническая группа (перечислить этнические группы, доля которых в населении превышает 1%, а при наличии в муниципальном образовании представителей коренных малочисленных народов указать их количество).</w:t>
            </w:r>
          </w:p>
        </w:tc>
        <w:tc>
          <w:tcPr>
            <w:tcW w:w="459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Доля в населении муниципального образования (%).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При наличии в муниципальном образовании представителей коренных малочисленных народов Российской Федерации указать их количество (чел.).</w:t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1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59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Borders>
          <w:insideH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9076"/>
      </w:tblGrid>
      <w:tr>
        <w:tblPrEx>
          <w:tblBorders>
            <w:insideH w:val="none"/>
          </w:tblBorders>
        </w:tblPrEx>
        <w:tc>
          <w:tcPr>
            <w:tcW w:w="9076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  <w:outlineLvl w:val="2"/>
            </w:pPr>
            <w:r>
              <w:rPr>
                <w:sz w:val="24"/>
              </w:rPr>
              <w:t xml:space="preserve">II. Описание муниципальной практики</w:t>
            </w:r>
          </w:p>
        </w:tc>
      </w:tr>
      <w:tr>
        <w:tblPrEx>
          <w:tblBorders>
            <w:insideH w:val="none"/>
          </w:tblBorders>
        </w:tblPrEx>
        <w:tc>
          <w:tcPr>
            <w:tcW w:w="9076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1. Наименование муниципальной практики (присваивается муниципальным образованием самостоятельно и отражает основную идею реализуемой муниципальной практики)</w:t>
            </w:r>
          </w:p>
        </w:tc>
      </w:tr>
      <w:tr>
        <w:tblPrEx>
          <w:tblBorders>
            <w:insideH w:val="none"/>
          </w:tblBorders>
        </w:tblPrEx>
        <w:tc>
          <w:tcPr>
            <w:tcW w:w="9076" w:type="dxa"/>
            <w:tcBorders>
              <w:top w:val="none"/>
              <w:left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tcW w:w="9076" w:type="dxa"/>
            <w:tcBorders>
              <w:left w:val="none"/>
              <w:bottom w:val="none"/>
              <w:right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2. Краткое описание ситуации, обусловившей необходимость реализации муниципальной практики</w:t>
            </w:r>
          </w:p>
        </w:tc>
      </w:tr>
      <w:tr>
        <w:tblPrEx>
          <w:tblBorders>
            <w:insideH w:val="none"/>
          </w:tblBorders>
        </w:tblPrEx>
        <w:tc>
          <w:tcPr>
            <w:tcW w:w="9076" w:type="dxa"/>
            <w:tcBorders>
              <w:top w:val="none"/>
              <w:left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6" w:type="dxa"/>
            <w:tcBorders>
              <w:left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6" w:type="dxa"/>
            <w:tcBorders>
              <w:left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6" w:type="dxa"/>
            <w:tcBorders>
              <w:left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6" w:type="dxa"/>
            <w:tcBorders>
              <w:left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tcW w:w="9076" w:type="dxa"/>
            <w:tcBorders>
              <w:left w:val="none"/>
              <w:bottom w:val="none"/>
              <w:right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3. Описание муниципальной практики (резюме). Перечень мероприятий, которые были предприняты для того, чтобы реализовать муниципальную практику ("дорожная карта")</w:t>
            </w:r>
          </w:p>
        </w:tc>
      </w:tr>
      <w:tr>
        <w:tblPrEx>
          <w:tblBorders>
            <w:insideH w:val="none"/>
          </w:tblBorders>
        </w:tblPrEx>
        <w:tc>
          <w:tcPr>
            <w:tcW w:w="9076" w:type="dxa"/>
            <w:tcBorders>
              <w:top w:val="none"/>
              <w:left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6" w:type="dxa"/>
            <w:tcBorders>
              <w:left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6" w:type="dxa"/>
            <w:tcBorders>
              <w:left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6" w:type="dxa"/>
            <w:tcBorders>
              <w:left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6" w:type="dxa"/>
            <w:tcBorders>
              <w:left w:val="none"/>
              <w:bottom w:val="none"/>
              <w:right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4. Участники внедрения муниципальной практики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566"/>
        <w:gridCol w:w="4648"/>
        <w:gridCol w:w="1700"/>
        <w:gridCol w:w="2154"/>
      </w:tblGrid>
      <w:tr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464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Участник</w:t>
            </w:r>
          </w:p>
        </w:tc>
        <w:tc>
          <w:tcPr>
            <w:tcW w:w="170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объединения/учреждения</w:t>
            </w:r>
          </w:p>
        </w:tc>
        <w:tc>
          <w:tcPr>
            <w:tcW w:w="215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Краткое описание его роли в проекте внедрения муниципальной практики</w:t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4648" w:type="dxa"/>
          </w:tcPr>
          <w:p>
            <w:pPr>
              <w:pStyle w:val="0"/>
            </w:pPr>
            <w:r>
              <w:rPr>
                <w:sz w:val="24"/>
              </w:rPr>
              <w:t xml:space="preserve">Национально-культурные общественные организации (объединения)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4648" w:type="dxa"/>
          </w:tcPr>
          <w:p>
            <w:pPr>
              <w:pStyle w:val="0"/>
            </w:pPr>
            <w:r>
              <w:rPr>
                <w:sz w:val="24"/>
              </w:rPr>
              <w:t xml:space="preserve">Религиозные организации (объединения)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4648" w:type="dxa"/>
          </w:tcPr>
          <w:p>
            <w:pPr>
              <w:pStyle w:val="0"/>
            </w:pPr>
            <w:r>
              <w:rPr>
                <w:sz w:val="24"/>
              </w:rPr>
              <w:t xml:space="preserve">Учреждения (государственные, муниципальные, частные)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6" w:type="dxa"/>
          </w:tcPr>
          <w:p>
            <w:pPr>
              <w:pStyle w:val="0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4648" w:type="dxa"/>
          </w:tcPr>
          <w:p>
            <w:pPr>
              <w:pStyle w:val="0"/>
            </w:pPr>
            <w:r>
              <w:rPr>
                <w:sz w:val="24"/>
              </w:rPr>
              <w:t xml:space="preserve">Иные</w:t>
            </w:r>
          </w:p>
        </w:tc>
        <w:tc>
          <w:tcPr>
            <w:tcW w:w="170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15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Borders>
          <w:insideH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9076"/>
      </w:tblGrid>
      <w:tr>
        <w:tblPrEx>
          <w:tblBorders>
            <w:insideH w:val="none"/>
          </w:tblBorders>
        </w:tblPrEx>
        <w:tc>
          <w:tcPr>
            <w:tcW w:w="9076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ind w:firstLine="283"/>
              <w:jc w:val="both"/>
            </w:pPr>
            <w:r>
              <w:rPr>
                <w:sz w:val="24"/>
              </w:rPr>
              <w:t xml:space="preserve">5. Краткое описание социальных эффектов от реализации муниципальной практики:</w:t>
            </w:r>
          </w:p>
        </w:tc>
      </w:tr>
      <w:tr>
        <w:tblPrEx>
          <w:tblBorders>
            <w:insideH w:val="none"/>
          </w:tblBorders>
        </w:tblPrEx>
        <w:tc>
          <w:tcPr>
            <w:tcW w:w="9076" w:type="dxa"/>
            <w:tcBorders>
              <w:top w:val="none"/>
              <w:left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6" w:type="dxa"/>
            <w:tcBorders>
              <w:left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6" w:type="dxa"/>
            <w:tcBorders>
              <w:left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6" w:type="dxa"/>
            <w:tcBorders>
              <w:left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tcW w:w="9076" w:type="dxa"/>
            <w:tcBorders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none"/>
          </w:tblBorders>
        </w:tblPrEx>
        <w:tc>
          <w:tcPr>
            <w:tcW w:w="9076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  <w:outlineLvl w:val="2"/>
            </w:pPr>
            <w:r>
              <w:rPr>
                <w:sz w:val="24"/>
              </w:rPr>
              <w:t xml:space="preserve">III. Параметры оценки муниципальной практики и их значения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737"/>
        <w:gridCol w:w="6463"/>
        <w:gridCol w:w="1862"/>
      </w:tblGrid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646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параметра оценки</w:t>
            </w:r>
          </w:p>
        </w:tc>
        <w:tc>
          <w:tcPr>
            <w:tcW w:w="18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Соответствие параметру и оценка в баллах (заполняется региональным организатором)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Укрепление общероссийской гражданской идентичности (гражданского самосознания) на основе традиционных российских духовно-нравственных и культурно-исторических ценностей</w:t>
            </w:r>
          </w:p>
        </w:tc>
        <w:tc>
          <w:tcPr>
            <w:tcW w:w="186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1.1.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Муниципальная практика способствовала защите, поддержке и развитию русского языка как государственного языка Российской Федерации, как языка государствообразующего народа и как родного языка, а также продвижение русского языка как языка межнационального общения, а именно:</w:t>
            </w:r>
          </w:p>
        </w:tc>
        <w:tc>
          <w:tcPr>
            <w:tcW w:w="186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1.1.1.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проведены культурные, образовательные и научно-просветительские мероприятия, направленные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на укрепление позиций русского языка, в том числе в информационно-телекоммуникационной сети "Интернет":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[какие именно? _______________] (здесь и далее в квадратные скобки включить требуемые описания)</w:t>
            </w:r>
          </w:p>
        </w:tc>
        <w:tc>
          <w:tcPr>
            <w:tcW w:w="18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- 10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1.1.2.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оказана поддержка переводу на русский язык произведений, созданных на языках народов России, их изданию и распространению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[каких именно? _______________]</w:t>
            </w:r>
          </w:p>
        </w:tc>
        <w:tc>
          <w:tcPr>
            <w:tcW w:w="18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- 10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1.2.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Муниципальная практика способствовала формированию у детей и молодежи на всех этапах образовательного и воспитательного процессов гражданского самосознания, представлений о единстве многонационального народа Российской Федерации (российской нации), воспитанию патриотизма, а именно:</w:t>
            </w:r>
          </w:p>
        </w:tc>
        <w:tc>
          <w:tcPr>
            <w:tcW w:w="186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1.2.1.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проведены мероприятия, посвященные государственным праздникам Российской Федерации, памятным датам и памятным дням, формирующие у детей и молодежи чувство общности, принадлежности к истории страны и ее достижениям: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[какие именно? _______________]</w:t>
            </w:r>
          </w:p>
        </w:tc>
        <w:tc>
          <w:tcPr>
            <w:tcW w:w="18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- 10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1.2.2.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организовано посещение детьми и молодежью объектов культурного наследия (памятников истории и культуры) народов Российской Федерации, памятных мест, городов-героев, городов воинской славы и трудовой доблести: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[что именно? _______________]</w:t>
            </w:r>
          </w:p>
        </w:tc>
        <w:tc>
          <w:tcPr>
            <w:tcW w:w="18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- 10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1.2.3.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реализованы проекты, направленные на сближение поколений и передачу традиционных российских духовно-нравственных ценностей от старших поколений младшим, на укрепление гражданского единства, приобщение молодежи к культуре и традициям народов России: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[какие именно? _______________]</w:t>
            </w:r>
          </w:p>
        </w:tc>
        <w:tc>
          <w:tcPr>
            <w:tcW w:w="18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- 10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1.2.4.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проведены мероприятия, направленные на противодействие распространению ксенофобии, идеологий нацизма, экстремизма и терроризма среди детей и молодежи: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[какие именно? _______________]</w:t>
            </w:r>
          </w:p>
        </w:tc>
        <w:tc>
          <w:tcPr>
            <w:tcW w:w="18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- 10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1.3.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Муниципальная практика способствовала сохранению и развитию культуры межнациональных (межэтнических) отношений, защите исторической правды и исторической памяти, традиционных российских духовно-нравственных и культурно-исторических ценностей, а именно:</w:t>
            </w:r>
          </w:p>
        </w:tc>
        <w:tc>
          <w:tcPr>
            <w:tcW w:w="186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1.3.1.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проведены мероприятия, направленные на утверждение идей патриотизма, служения Отечеству и ответственности за его судьбу, исторического гражданского единства и дружбы народов, межнационального (межэтнического) согласия: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[какие именно? _______________]</w:t>
            </w:r>
          </w:p>
        </w:tc>
        <w:tc>
          <w:tcPr>
            <w:tcW w:w="18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- 10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1.3.2.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проведены мероприятия, направленные на распространение в обществе установок неприятия и недопущения пропаганды и оправдания неонацизма, расизма, экстремизма и ксенофобии, национальной исключительности: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[какие именно? _______________]</w:t>
            </w:r>
          </w:p>
        </w:tc>
        <w:tc>
          <w:tcPr>
            <w:tcW w:w="18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- 10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1.3.3.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проведены мероприятия, посвященные значимым событиям истории России, включая историю государствообразующего русского народа и других народов России, направленные на предупреждение и противодействие фальсификации истории: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[какие именно? _______________]</w:t>
            </w:r>
          </w:p>
        </w:tc>
        <w:tc>
          <w:tcPr>
            <w:tcW w:w="18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- 10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1.3.4.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реализованы проекты, направленные на сохранение и укрепление традиционных российских духовно-нравственных ценностей как основы общероссийской гражданской идентичности (гражданского самосознания) и российской самобытности, межкультурного и межнационального (межэтнического) взаимодействия: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[какие именно? _______________]</w:t>
            </w:r>
          </w:p>
        </w:tc>
        <w:tc>
          <w:tcPr>
            <w:tcW w:w="18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- 10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Сохранение и поддержка этнокультурного и языкового многообразия Российской Федерации</w:t>
            </w:r>
          </w:p>
        </w:tc>
        <w:tc>
          <w:tcPr>
            <w:tcW w:w="186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2.1.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Муниципальная практика способствовала этнокультурному и духовному развитию народов Российской Федерации, а именно:</w:t>
            </w:r>
          </w:p>
        </w:tc>
        <w:tc>
          <w:tcPr>
            <w:tcW w:w="186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2.1.1.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проведены мероприятия, способствующие созданию условий для использования, сохранения и развития языков народов Российской Федерации, а также изучению родного языка и других языков народов Российской Федерации: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[какие именно? _______________]</w:t>
            </w:r>
          </w:p>
        </w:tc>
        <w:tc>
          <w:tcPr>
            <w:tcW w:w="18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- 10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2.1.2.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проведены мероприятия, способствующие сохранению и популяризации нематериального этнокультурного достояния Российской Федерации, народного художественного творчества, сохранению и развитию народных промыслов и ремесел: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[какие именно? _______________]</w:t>
            </w:r>
          </w:p>
        </w:tc>
        <w:tc>
          <w:tcPr>
            <w:tcW w:w="18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- 10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2.1.3.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проведены мероприятия, направленные на популяризацию и распространение произведений литературы и искусства народов Российской Федерации, организованы художественные выставки, фестивали, конкурсы, гастроли творческих коллективов и другие мероприятия в области культуры: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[какие именно? _______________]</w:t>
            </w:r>
          </w:p>
        </w:tc>
        <w:tc>
          <w:tcPr>
            <w:tcW w:w="18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- 10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2.1.4.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проведены мероприятия, способствующие развитию национальных видов спорта: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[какие именно? _______________]</w:t>
            </w:r>
          </w:p>
        </w:tc>
        <w:tc>
          <w:tcPr>
            <w:tcW w:w="18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- 10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2.1.5.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разработаны туристские маршруты и экскурсионные программы, популяризирующие этнокультурное многообразие России и включающие в себя посещение музеев и объектов культурного наследия (памятников истории и культуры) народов Российской Федерации: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[какие именно? _______________]</w:t>
            </w:r>
          </w:p>
        </w:tc>
        <w:tc>
          <w:tcPr>
            <w:tcW w:w="18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- 10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2.2.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Муниципальная практика способствовала укреплению объединяющей роли русского народа как государствообразующего народа, в том числе:</w:t>
            </w:r>
          </w:p>
        </w:tc>
        <w:tc>
          <w:tcPr>
            <w:tcW w:w="186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2.2.1.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обеспечены благоприятные условия для сохранения и развития культуры русского народа: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[какие именно? _______________)</w:t>
            </w:r>
          </w:p>
        </w:tc>
        <w:tc>
          <w:tcPr>
            <w:tcW w:w="18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- 10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2.2.2.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реализованы проекты в области сохранения и развития нематериального этнокультурного достояния русского народа: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[какие именно? _______________]</w:t>
            </w:r>
          </w:p>
        </w:tc>
        <w:tc>
          <w:tcPr>
            <w:tcW w:w="18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- 10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2.2.3.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проведены фестивали, конкурсы, выставки, ярмарки, праздники, творческие лаборатории, форумы, иные мероприятия, направленные на сохранение и развитие культуры русского народа: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[какие именно? _______________]</w:t>
            </w:r>
          </w:p>
        </w:tc>
        <w:tc>
          <w:tcPr>
            <w:tcW w:w="18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- 10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2.2.4.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действуют профессиональные и любительские коллективы народного творчества, способствующие популяризации культуры русского народа: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[какие именно? _______________]</w:t>
            </w:r>
          </w:p>
        </w:tc>
        <w:tc>
          <w:tcPr>
            <w:tcW w:w="18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- 10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2.2.5.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 мероприятиях, посвященных русской культуре и литературе, участвуют постоянно проживающие в Российской Федерации иностранные граждане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[кто и в каких именно? _______________]</w:t>
            </w:r>
          </w:p>
        </w:tc>
        <w:tc>
          <w:tcPr>
            <w:tcW w:w="18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- 10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2.3.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Муниципальная практика способствовала сохранению самобытной культуры, традиционного образа жизни и поддержке традиционной хозяйственной деятельности коренных малочисленных народов Российской Федерации, а именно:</w:t>
            </w:r>
          </w:p>
        </w:tc>
        <w:tc>
          <w:tcPr>
            <w:tcW w:w="186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2.3.1.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оказана поддержка традиционной хозяйственной деятельности и промыслов коренных малочисленных народов Российской Федерации: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[какая именно? _______________]</w:t>
            </w:r>
          </w:p>
        </w:tc>
        <w:tc>
          <w:tcPr>
            <w:tcW w:w="18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- 10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2.3.2.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проведены мероприятия, направленные на сохранение культуры, языков и традиций коренных малочисленных народов Российской Федерации: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[какие именно? _______________]</w:t>
            </w:r>
          </w:p>
        </w:tc>
        <w:tc>
          <w:tcPr>
            <w:tcW w:w="18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- 10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Обеспечение межнационального (межэтнического) и межрелигиозного согласия, противодействие экстремизму и возникновению конфликтов на национальной (этнической) и (или) религиозной почве</w:t>
            </w:r>
          </w:p>
        </w:tc>
        <w:tc>
          <w:tcPr>
            <w:tcW w:w="186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3.1.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проведены просветительские мероприятия, направленные на предупреждение экстремистских, в том числе сепаратистских проявлений, распространения религиозного, национального радикализма: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[какие именно? _______________]</w:t>
            </w:r>
          </w:p>
        </w:tc>
        <w:tc>
          <w:tcPr>
            <w:tcW w:w="18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- 10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3.2.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проведены мероприятия для адаптации иностранных граждан и их несовершеннолетних детей, способствующие успешному освоению ими русского языка; усвоению общепризнанных в российском обществе норм поведения, формированию у них присущих российскому обществу правосознания и правовой культуры, приобщению их к традиционным российским духовно-нравственным ценностям: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[какие именно и в какие мероприятия? _______________]</w:t>
            </w:r>
          </w:p>
        </w:tc>
        <w:tc>
          <w:tcPr>
            <w:tcW w:w="18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- 10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3.3.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 проведение мероприятий по укреплению гражданского единства, гармонизации межнациональных (межэтнических) отношений и профилактике экстремизма, предупреждению конфликтов на национальной (этнической) и (или) религиозной почве вовлечены институты гражданского общества, в том числе молодежные и детские общественные объединения: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[какие именно? _______________]</w:t>
            </w:r>
          </w:p>
        </w:tc>
        <w:tc>
          <w:tcPr>
            <w:tcW w:w="18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- 10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3.4.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 органах местного самоуправления действуют общественные советы либо иные консультативные органы по укреплению общероссийской гражданской идентичности (гражданского самосознания), гармонизации межнациональных (межэтнических) и межрелигиозных отношений, содействию адаптации иностранных граждан в Российской Федерации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[какие именно? _______________]</w:t>
            </w:r>
          </w:p>
        </w:tc>
        <w:tc>
          <w:tcPr>
            <w:tcW w:w="18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- 10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Информационное сопровождение муниципальной практики</w:t>
            </w:r>
          </w:p>
        </w:tc>
        <w:tc>
          <w:tcPr>
            <w:tcW w:w="186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4.1.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осуществлялось информационное сопровождение муниципальной практики в социальных сетях и блогах (дать ссылки на публикации, не более 5)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[______________________________]</w:t>
            </w:r>
          </w:p>
        </w:tc>
        <w:tc>
          <w:tcPr>
            <w:tcW w:w="18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- 10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4.2.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информация о проведенных мероприятиях размещена представителями муниципального образования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на портале национальнаяполитика.рф. (дать ссылки на публикации, не более 5)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[______________________________]</w:t>
            </w:r>
          </w:p>
        </w:tc>
        <w:tc>
          <w:tcPr>
            <w:tcW w:w="18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- 10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Оценка эффективности муниципальной практики</w:t>
            </w:r>
          </w:p>
        </w:tc>
        <w:tc>
          <w:tcPr>
            <w:tcW w:w="186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5.1.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 отчетном году в муниципальном образовании отсутствовали конфликтные ситуации на национальной и (или) религиозной почве</w:t>
            </w:r>
          </w:p>
        </w:tc>
        <w:tc>
          <w:tcPr>
            <w:tcW w:w="18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- 10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5.2.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реализованная муниципальная практика получила позитивное освещение в средствах массовой информации на местном, региональном или общероссийском уровне (дать ссылки на публикации, не более 5)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[______________________________]</w:t>
            </w:r>
          </w:p>
        </w:tc>
        <w:tc>
          <w:tcPr>
            <w:tcW w:w="18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- 10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Оценка качества конкурсной заявки</w:t>
            </w:r>
          </w:p>
        </w:tc>
        <w:tc>
          <w:tcPr>
            <w:tcW w:w="186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6.1.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Представлен развернутый поэтапный перечень мероприятий, которые были предприняты для того, чтобы реализовать муниципальную практику ("дорожная карта")</w:t>
            </w:r>
          </w:p>
        </w:tc>
        <w:tc>
          <w:tcPr>
            <w:tcW w:w="18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- 50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6.2.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Презентационные материалы отличаются наглядностью и высоким качеством, использованы схемы, карты, диаграммы</w:t>
            </w:r>
          </w:p>
        </w:tc>
        <w:tc>
          <w:tcPr>
            <w:tcW w:w="18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- 50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6.3.</w:t>
            </w:r>
          </w:p>
        </w:tc>
        <w:tc>
          <w:tcPr>
            <w:tcW w:w="646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Реализованная муниципальная практика тиражируема</w:t>
            </w:r>
          </w:p>
        </w:tc>
        <w:tc>
          <w:tcPr>
            <w:tcW w:w="186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 - 50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Нет - 0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&lt;...&gt;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1677"/>
        <w:gridCol w:w="340"/>
        <w:gridCol w:w="2265"/>
        <w:gridCol w:w="340"/>
        <w:gridCol w:w="464"/>
        <w:gridCol w:w="3990"/>
      </w:tblGrid>
      <w:tr>
        <w:tc>
          <w:tcPr>
            <w:tcW w:w="9076" w:type="dxa"/>
            <w:gridSpan w:val="6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Глава муниципального образования</w:t>
            </w:r>
          </w:p>
        </w:tc>
      </w:tr>
      <w:tr>
        <w:tc>
          <w:tcPr>
            <w:tcW w:w="5086" w:type="dxa"/>
            <w:gridSpan w:val="5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9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086" w:type="dxa"/>
            <w:gridSpan w:val="5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фамилия, имя, отчество (при наличии)</w:t>
            </w:r>
          </w:p>
        </w:tc>
        <w:tc>
          <w:tcPr>
            <w:tcW w:w="399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677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65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454" w:type="dxa"/>
            <w:gridSpan w:val="2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677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(дата)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65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454" w:type="dxa"/>
            <w:gridSpan w:val="2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(расшифровка подписи)</w:t>
            </w:r>
          </w:p>
        </w:tc>
      </w:tr>
      <w:tr>
        <w:tc>
          <w:tcPr>
            <w:tcW w:w="9076" w:type="dxa"/>
            <w:gridSpan w:val="6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6" w:type="dxa"/>
            <w:gridSpan w:val="6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СОГЛАСОВАНО</w:t>
            </w:r>
          </w:p>
        </w:tc>
      </w:tr>
      <w:tr>
        <w:tc>
          <w:tcPr>
            <w:tcW w:w="9076" w:type="dxa"/>
            <w:gridSpan w:val="6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6" w:type="dxa"/>
            <w:gridSpan w:val="6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должности визирующего должностного лица, ответственного в субъекте Российской Федерации за предоставление конкурсной заявки на федеральный этап конкурса)</w:t>
            </w:r>
          </w:p>
        </w:tc>
      </w:tr>
      <w:tr>
        <w:tc>
          <w:tcPr>
            <w:tcW w:w="1677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65" w:type="dxa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454" w:type="dxa"/>
            <w:gridSpan w:val="2"/>
            <w:tcBorders>
              <w:top w:val="none"/>
              <w:left w:val="none"/>
              <w:bottom w:val="single" w:sz="4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W w:w="1677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(дата)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65" w:type="dxa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(подпись)</w:t>
            </w:r>
          </w:p>
        </w:tc>
        <w:tc>
          <w:tcPr>
            <w:tcW w:w="34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454" w:type="dxa"/>
            <w:gridSpan w:val="2"/>
            <w:tcBorders>
              <w:top w:val="single" w:sz="4"/>
              <w:left w:val="none"/>
              <w:bottom w:val="none"/>
              <w:right w:val="none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(расшифровка подписи)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sectPr>
      <w:pgSz w:w="11906" w:h="16838"/>
      <w:pgMar w:top="1440" w:right="566" w:bottom="1440" w:left="1133" w:header="0" w:footer="0" w:gutter="0"/>
      <w:cols w:space="708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6040504020204"/>
  </w:font>
  <w:font w:name="Arial">
    <w:panose1 w:val="020B0604020202020204"/>
  </w:font>
  <w:font w:name="Courier New">
    <w:panose1 w:val="020704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spacing w:before="0" w:after="0" w:line="24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hyperlink" Target="http://172.30.45.4/cons/cgi/online.cgi?req=doc&amp;base=LAW&amp;n=505294&amp;date=19.05.2026&amp;dst=2&amp;field=134" TargetMode="External"/><Relationship Id="rId7" Type="http://schemas.openxmlformats.org/officeDocument/2006/relationships/hyperlink" Target="http://172.30.45.4/cons/cgi/online.cgi?req=doc&amp;base=LAW&amp;n=421826&amp;date=19.05.2026" TargetMode="External"/><Relationship Id="rId8" Type="http://schemas.openxmlformats.org/officeDocument/2006/relationships/hyperlink" Target="http://172.30.45.4/cons/cgi/online.cgi?req=doc&amp;base=LAW&amp;n=421744&amp;date=19.05.2026" TargetMode="External"/><Relationship Id="rId9" Type="http://schemas.openxmlformats.org/officeDocument/2006/relationships/hyperlink" Target="http://172.30.45.4/cons/cgi/online.cgi?req=doc&amp;base=LAW&amp;n=505294&amp;date=19.05.2026&amp;dst=56&amp;field=134" TargetMode="External"/><Relationship Id="rId10" Type="http://schemas.openxmlformats.org/officeDocument/2006/relationships/image" Target="media/image1.wmf"/><Relationship Id="rId11" Type="http://schemas.openxmlformats.org/officeDocument/2006/relationships/image" Target="media/media1.svg"/><Relationship Id="rId12" Type="http://schemas.openxmlformats.org/officeDocument/2006/relationships/hyperlink" Target="http://172.30.45.4/cons/cgi/online.cgi?req=doc&amp;base=LAW&amp;n=505294&amp;date=19.05.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ФАДН России от 27.03.2026 N 43
"Об утверждении формы конкурсной заявки и методики оценки конкурсных заявок муниципальных образований, представляемых для участия во Всероссийском конкурсе "Лучшая муниципальная практика" по номинации "Укрепление межнационального мира и согласия, реализация иных мероприятий в сфере национальной политики на муниципальном уровне"
(Зарегистрировано в Минюсте России 27.04.2026 N 86226)</dc:title>
  <cp:lastModifiedBy>eakoliasova@pk.gov</cp:lastModifiedBy>
  <dcterms:created xsi:type="dcterms:W3CDTF">2026-05-19T11:44:30Z</dcterms:created>
</cp:coreProperties>
</file>