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0"/>
        <w:jc w:val="both"/>
        <w:outlineLvl w:val="0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21 июля 2025 г. N 82997</w:t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ЭКОНОМИЧЕСКОГО РАЗВИТИЯ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26 июня 2025 г. N 425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ФОРМЫ КОНКУРСНОЙ ЗАЯВКИ</w:t>
      </w:r>
    </w:p>
    <w:p>
      <w:pPr>
        <w:pStyle w:val="2"/>
        <w:jc w:val="center"/>
      </w:pPr>
      <w:r>
        <w:rPr>
          <w:sz w:val="24"/>
        </w:rPr>
        <w:t xml:space="preserve">МУНИЦИПАЛЬНОГО ОБРАЗОВАНИЯ, ПРЕДСТАВЛЯЕМОЙ ДЛЯ УЧАСТИЯ</w:t>
      </w:r>
    </w:p>
    <w:p>
      <w:pPr>
        <w:pStyle w:val="2"/>
        <w:jc w:val="center"/>
      </w:pPr>
      <w:r>
        <w:rPr>
          <w:sz w:val="24"/>
        </w:rPr>
        <w:t xml:space="preserve">ВО ВСЕРОССИЙСКОМ КОНКУРСЕ "ЛУЧШАЯ МУНИЦИПАЛЬНАЯ ПРАКТИКА"</w:t>
      </w:r>
    </w:p>
    <w:p>
      <w:pPr>
        <w:pStyle w:val="2"/>
        <w:jc w:val="center"/>
      </w:pPr>
      <w:r>
        <w:rPr>
          <w:sz w:val="24"/>
        </w:rPr>
        <w:t xml:space="preserve">ПО НОМИНАЦИИ "ПОВЫШЕНИЕ УЗНАВАЕМОСТИ МУНИЦИПАЛЬНОГО</w:t>
      </w:r>
    </w:p>
    <w:p>
      <w:pPr>
        <w:pStyle w:val="2"/>
        <w:jc w:val="center"/>
      </w:pPr>
      <w:r>
        <w:rPr>
          <w:sz w:val="24"/>
        </w:rPr>
        <w:t xml:space="preserve">ОБРАЗОВАНИЯ ("БРЕНД ТЕРРИТОРИИ")", И МЕТОДИКИ ОЦЕНКИ</w:t>
      </w:r>
    </w:p>
    <w:p>
      <w:pPr>
        <w:pStyle w:val="2"/>
        <w:jc w:val="center"/>
      </w:pPr>
      <w:r>
        <w:rPr>
          <w:sz w:val="24"/>
        </w:rPr>
        <w:t xml:space="preserve">КОНКУРСНЫХ ЗАЯВОК МУНИЦИПАЛЬНЫХ ОБРАЗОВАНИЙ,</w:t>
      </w:r>
    </w:p>
    <w:p>
      <w:pPr>
        <w:pStyle w:val="2"/>
        <w:jc w:val="center"/>
      </w:pPr>
      <w:r>
        <w:rPr>
          <w:sz w:val="24"/>
        </w:rPr>
        <w:t xml:space="preserve">ПРЕДСТАВЛЯЕМЫХ ДЛЯ УЧАСТИЯ ВО ВСЕРОССИЙСКОМ</w:t>
      </w:r>
    </w:p>
    <w:p>
      <w:pPr>
        <w:pStyle w:val="2"/>
        <w:jc w:val="center"/>
      </w:pPr>
      <w:r>
        <w:rPr>
          <w:sz w:val="24"/>
        </w:rPr>
        <w:t xml:space="preserve">КОНКУРСЕ "ЛУЧШАЯ МУНИЦИПАЛЬНАЯ ПРАКТИКА"</w:t>
      </w:r>
    </w:p>
    <w:p>
      <w:pPr>
        <w:pStyle w:val="2"/>
        <w:jc w:val="center"/>
      </w:pPr>
      <w:r>
        <w:rPr>
          <w:sz w:val="24"/>
        </w:rPr>
        <w:t xml:space="preserve">ПО НОМИНАЦИИ "ПОВЫШЕНИЕ УЗНАВАЕМОСТИ</w:t>
      </w:r>
    </w:p>
    <w:p>
      <w:pPr>
        <w:pStyle w:val="2"/>
        <w:jc w:val="center"/>
      </w:pPr>
      <w:r>
        <w:rPr>
          <w:sz w:val="24"/>
        </w:rPr>
        <w:t xml:space="preserve">МУНИЦИПАЛЬНОГО ОБРАЗОВАНИЯ</w:t>
      </w:r>
    </w:p>
    <w:p>
      <w:pPr>
        <w:pStyle w:val="2"/>
        <w:jc w:val="center"/>
      </w:pPr>
      <w:r>
        <w:rPr>
          <w:sz w:val="24"/>
        </w:rPr>
        <w:t xml:space="preserve">("БРЕНД ТЕРРИТОРИИ")"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r:id="rId6" w:tooltip="Постановление Правительства РФ от 18.08.2016 N 815 (ред. от 14.05.2025) &quot;О Всероссийском конкурсе &quot;Лучшая муниципальная практика&quot; (вместе с &quot;Положением о Всероссийском конкурсе &quot;Лучшая муниципальная практика&quot;) {КонсультантПлюс}" w:history="0">
        <w:r>
          <w:rPr>
            <w:color w:val="0000ff"/>
            <w:sz w:val="24"/>
          </w:rPr>
          <w:t xml:space="preserve">подпунктом "в" пункта 9</w:t>
        </w:r>
      </w:hyperlink>
      <w:r>
        <w:rPr>
          <w:sz w:val="24"/>
        </w:rPr>
        <w:t xml:space="preserve"> Положения о Всероссийском конкурсе "Лучшая муниципальная практика", утвержденного постановлением Правительства Российской Федерации от 18 августа 2016 г. N 815, и </w:t>
      </w:r>
      <w:hyperlink r:id="rId7" w:tooltip="Постановление Правительства РФ от 05.06.2008 N 437 (ред. от 29.04.2026) &quot;О Министерстве экономического развития Российской Федерации&quot; {КонсультантПлюс}" w:history="0">
        <w:r>
          <w:rPr>
            <w:color w:val="0000ff"/>
            <w:sz w:val="24"/>
          </w:rPr>
          <w:t xml:space="preserve">абзацем первым пункта 1</w:t>
        </w:r>
      </w:hyperlink>
      <w:r>
        <w:rPr>
          <w:sz w:val="24"/>
        </w:rPr>
        <w:t xml:space="preserve"> Положения о Министерстве экономического развития Российской Федерации, утвержденного постановлением Правительства Российской Федерации от 5 июня 2008 г. N 437, приказываю: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 Утвердить прилагаемые:</w:t>
      </w:r>
    </w:p>
    <w:p>
      <w:pPr>
        <w:pStyle w:val="0"/>
        <w:spacing w:before="240"/>
        <w:ind w:firstLine="540"/>
        <w:jc w:val="both"/>
      </w:pPr>
      <w:hyperlink w:tooltip="                             КОНКУРСНАЯ ЗАЯВКА" w:anchor="P40" w:history="0">
        <w:r>
          <w:rPr>
            <w:color w:val="0000ff"/>
            <w:sz w:val="24"/>
          </w:rPr>
          <w:t xml:space="preserve">форму</w:t>
        </w:r>
      </w:hyperlink>
      <w:r>
        <w:rPr>
          <w:sz w:val="24"/>
        </w:rPr>
        <w:t xml:space="preserve"> конкурсной заявки муниципального образования, представляемой для участия во Всероссийском конкурсе "Лучшая муниципальная практика" по номинации "Повышение узнаваемости муниципального образования ("бренд территории")", согласно приложению N 1 к настоящему приказу;</w:t>
      </w:r>
    </w:p>
    <w:p>
      <w:pPr>
        <w:pStyle w:val="0"/>
        <w:spacing w:before="240"/>
        <w:ind w:firstLine="540"/>
        <w:jc w:val="both"/>
      </w:pPr>
      <w:hyperlink w:tooltip="МЕТОДИКА" w:anchor="P304" w:history="0">
        <w:r>
          <w:rPr>
            <w:color w:val="0000ff"/>
            <w:sz w:val="24"/>
          </w:rPr>
          <w:t xml:space="preserve">методику</w:t>
        </w:r>
      </w:hyperlink>
      <w:r>
        <w:rPr>
          <w:sz w:val="24"/>
        </w:rPr>
        <w:t xml:space="preserve"> оценки конкурсных заявок муниципальных образований, представляемых для участия во Всероссийском конкурсе "Лучшая муниципальная практика" по номинации "Повышение узнаваемости муниципального образования ("бренд территории"), согласно приложению N 2 к настоящему приказу.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r:id="rId8" w:tooltip="Приказ Минэкономразвития России от 10.06.2021 N 324 &quot;Об утверждении формы конкурсной заявки и методики оценки конкурсных заявок муниципальных образований, представляемых для участия во Всероссийском конкурсе &quot;Лучшая муниципальная практика&quot; по номинации &quot;Обеспечение эффективной &quot;обратной связи&quot; с жителями муниципальных образований, развитие территориального общественного самоуправления и привлечение граждан к осуществлению (участию в осуществлении) местного самоуправления в иных формах&quot; (Зарегистрировано в М ------------ Утратил силу или отменен {КонсультантПлюс}" w:history="0">
        <w:r>
          <w:rPr>
            <w:color w:val="0000ff"/>
            <w:sz w:val="24"/>
          </w:rPr>
          <w:t xml:space="preserve">приказ</w:t>
        </w:r>
      </w:hyperlink>
      <w:r>
        <w:rPr>
          <w:sz w:val="24"/>
        </w:rPr>
        <w:t xml:space="preserve"> Минэкономразвития России от 10 июня 2021 г. N 324 "Об утверждении формы конкурсной заявки и методики оценки конкурсных заявок муниципальных образований, представляемых для участия во Всероссийском конкурсе "Лучшая муниципальная практика" по номинации "Обеспечение эффективной "обратной связи" с жителями муниципальных образований, развитие территориального общественного самоуправления и привлечение граждан к осуществлению (участию в осуществлении) местного самоуправления в иных формах" (зарегистрирован Минюстом России 5 августа 2021 г., регистрационный N 64550).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М.Г.РЕШЕТНИКОВ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приказу Минэкономразвития России</w:t>
      </w:r>
    </w:p>
    <w:p>
      <w:pPr>
        <w:pStyle w:val="0"/>
        <w:jc w:val="right"/>
      </w:pPr>
      <w:r>
        <w:rPr>
          <w:sz w:val="24"/>
        </w:rPr>
        <w:t xml:space="preserve">от 26.06.2025 N 425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both"/>
      </w:pPr>
      <w:r>
        <w:rPr>
          <w:sz w:val="24"/>
        </w:rPr>
      </w:r>
    </w:p>
    <w:bookmarkStart w:id="40" w:name="P40"/>
    <w:bookmarkEnd w:id="40"/>
    <w:p>
      <w:pPr>
        <w:pStyle w:val="1"/>
        <w:jc w:val="both"/>
      </w:pPr>
      <w:r>
        <w:rPr>
          <w:sz w:val="20"/>
        </w:rPr>
        <w:t xml:space="preserve">                             КОНКУРСНАЯ ЗАЯВКА</w:t>
      </w:r>
    </w:p>
    <w:p>
      <w:pPr>
        <w:pStyle w:val="1"/>
        <w:jc w:val="both"/>
      </w:pPr>
      <w:r>
        <w:rPr>
          <w:sz w:val="20"/>
        </w:rPr>
        <w:t xml:space="preserve">                        МУНИЦИПАЛЬНОГО ОБРАЗОВАНИЯ,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представляемая для участия во Всероссийском конкурсе "Лучшая</w:t>
      </w:r>
    </w:p>
    <w:p>
      <w:pPr>
        <w:pStyle w:val="1"/>
        <w:jc w:val="both"/>
      </w:pPr>
      <w:r>
        <w:rPr>
          <w:sz w:val="20"/>
        </w:rPr>
        <w:t xml:space="preserve">       муниципальная практика" по номинации "Повышение узнаваемости</w:t>
      </w:r>
    </w:p>
    <w:p>
      <w:pPr>
        <w:pStyle w:val="1"/>
        <w:jc w:val="both"/>
      </w:pPr>
      <w:r>
        <w:rPr>
          <w:sz w:val="20"/>
        </w:rPr>
        <w:t xml:space="preserve">              муниципального образования ("бренд территории")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(наименование муниципального образования)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(субъект Российской Федерации)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(наименование номинации)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   организовать    рассмотрение   настоящей   конкурсной   заявки</w:t>
      </w:r>
    </w:p>
    <w:p>
      <w:pPr>
        <w:pStyle w:val="1"/>
        <w:jc w:val="both"/>
      </w:pPr>
      <w:r>
        <w:rPr>
          <w:sz w:val="20"/>
        </w:rPr>
        <w:t xml:space="preserve">муниципального  образования,  представляемой  для  участия во Всероссийском</w:t>
      </w:r>
    </w:p>
    <w:p>
      <w:pPr>
        <w:pStyle w:val="1"/>
        <w:jc w:val="both"/>
      </w:pPr>
      <w:r>
        <w:rPr>
          <w:sz w:val="20"/>
        </w:rPr>
        <w:t xml:space="preserve">конкурсе   "Лучшая   муниципальная   практика"   по   номинации  "Повышение</w:t>
      </w:r>
    </w:p>
    <w:p>
      <w:pPr>
        <w:pStyle w:val="1"/>
        <w:jc w:val="both"/>
      </w:pPr>
      <w:r>
        <w:rPr>
          <w:sz w:val="20"/>
        </w:rPr>
        <w:t xml:space="preserve">узнаваемости   муниципального   образования  ("бренд  территории")"  (далее</w:t>
      </w:r>
    </w:p>
    <w:p>
      <w:pPr>
        <w:pStyle w:val="1"/>
        <w:jc w:val="both"/>
      </w:pPr>
      <w:r>
        <w:rPr>
          <w:sz w:val="20"/>
        </w:rPr>
        <w:t xml:space="preserve">соответственно   -   конкурс,   конкурсная   заявка,  бренд  муниципального</w:t>
      </w:r>
    </w:p>
    <w:p>
      <w:pPr>
        <w:pStyle w:val="1"/>
        <w:jc w:val="both"/>
      </w:pPr>
      <w:r>
        <w:rPr>
          <w:sz w:val="20"/>
        </w:rPr>
        <w:t xml:space="preserve">образования).</w:t>
      </w:r>
    </w:p>
    <w:p>
      <w:pPr>
        <w:pStyle w:val="1"/>
        <w:jc w:val="both"/>
      </w:pPr>
      <w:r>
        <w:rPr>
          <w:sz w:val="20"/>
        </w:rPr>
        <w:t xml:space="preserve">    С  условиями  и  требованиями конкурса, предусмотренного </w:t>
      </w:r>
      <w:hyperlink r:id="rId9" w:tooltip="Постановление Правительства РФ от 18.08.2016 N 815 (ред. от 14.05.2025) &quot;О Всероссийском конкурсе &quot;Лучшая муниципальная практика&quot; (вместе с &quot;Положением о Всероссийском конкурсе &quot;Лучшая муниципальная практика&quot;) {КонсультантПлюс}" w:history="0">
        <w:r>
          <w:rPr>
            <w:color w:val="0000ff"/>
            <w:sz w:val="20"/>
          </w:rPr>
          <w:t xml:space="preserve">постановлением</w:t>
        </w:r>
      </w:hyperlink>
    </w:p>
    <w:p>
      <w:pPr>
        <w:pStyle w:val="1"/>
        <w:jc w:val="both"/>
      </w:pPr>
      <w:r>
        <w:rPr>
          <w:sz w:val="20"/>
        </w:rPr>
        <w:t xml:space="preserve">Правительства   Российской   Федерации  от  18  августа  2016  г.  N 815 "О</w:t>
      </w:r>
    </w:p>
    <w:p>
      <w:pPr>
        <w:pStyle w:val="1"/>
        <w:jc w:val="both"/>
      </w:pPr>
      <w:r>
        <w:rPr>
          <w:sz w:val="20"/>
        </w:rPr>
        <w:t xml:space="preserve">Всероссийском   конкурсе  "Лучшая  муниципальная  практика",  ознакомлен  и</w:t>
      </w:r>
    </w:p>
    <w:p>
      <w:pPr>
        <w:pStyle w:val="1"/>
        <w:jc w:val="both"/>
      </w:pPr>
      <w:r>
        <w:rPr>
          <w:sz w:val="20"/>
        </w:rPr>
        <w:t xml:space="preserve">согласен.</w:t>
      </w:r>
    </w:p>
    <w:p>
      <w:pPr>
        <w:pStyle w:val="1"/>
        <w:jc w:val="both"/>
      </w:pPr>
      <w:r>
        <w:rPr>
          <w:sz w:val="20"/>
        </w:rPr>
        <w:t xml:space="preserve">    По вопросам участия прошу взаимодействовать с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(фамилия, имя и отчество (при наличии), должность лица (при наличии),</w:t>
      </w:r>
    </w:p>
    <w:p>
      <w:pPr>
        <w:pStyle w:val="1"/>
        <w:jc w:val="both"/>
      </w:pPr>
      <w:r>
        <w:rPr>
          <w:sz w:val="20"/>
        </w:rPr>
        <w:t xml:space="preserve">          номер телефона и адрес электронной почты (при наличии)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Описание бренда муниципального образования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567"/>
        <w:gridCol w:w="3402"/>
        <w:gridCol w:w="5102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Признаки элемента практики</w:t>
            </w:r>
          </w:p>
        </w:tc>
        <w:tc>
          <w:tcPr>
            <w:tcW w:w="51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Содержание</w:t>
            </w:r>
          </w:p>
        </w:tc>
      </w:tr>
      <w:tr>
        <w:tc>
          <w:tcPr>
            <w:tcW w:w="567" w:type="dxa"/>
            <w:vMerge w:val="restart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402" w:type="dxa"/>
            <w:vMerge w:val="restart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бренда ("слоган") муниципального образования</w:t>
            </w:r>
          </w:p>
        </w:tc>
        <w:tc>
          <w:tcPr>
            <w:tcW w:w="5102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1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(описание наименования бренда муниципального образования ("слоган") с отражением ценностей муниципального образования, на которых базируется бренд)</w:t>
            </w:r>
          </w:p>
        </w:tc>
      </w:tr>
      <w:tr>
        <w:tc>
          <w:tcPr>
            <w:tcW w:w="567" w:type="dxa"/>
            <w:vMerge w:val="restart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402" w:type="dxa"/>
            <w:vMerge w:val="restart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Описание бренда муниципального образования</w:t>
            </w:r>
          </w:p>
        </w:tc>
        <w:tc>
          <w:tcPr>
            <w:tcW w:w="510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1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(описание бренда муниципального образования, включая основные ценности муниципального образования, на которых базируется бренд, описание истории разработки бренда муниципального образования, объем не более 150 слов)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Описание практики муниципального образования</w:t>
      </w:r>
    </w:p>
    <w:p>
      <w:pPr>
        <w:pStyle w:val="1"/>
        <w:jc w:val="both"/>
      </w:pPr>
      <w:r>
        <w:rPr>
          <w:sz w:val="20"/>
        </w:rPr>
        <w:t xml:space="preserve">                            (далее - практика)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567"/>
        <w:gridCol w:w="3402"/>
        <w:gridCol w:w="5102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4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Признаки элемента практики</w:t>
            </w:r>
          </w:p>
        </w:tc>
        <w:tc>
          <w:tcPr>
            <w:tcW w:w="51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Содержание</w:t>
            </w:r>
          </w:p>
        </w:tc>
      </w:tr>
      <w:tr>
        <w:tc>
          <w:tcPr>
            <w:tcW w:w="567" w:type="dxa"/>
            <w:vMerge w:val="restart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402" w:type="dxa"/>
            <w:vMerge w:val="restart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Наименование практики, характеризующей процесс внедрения бренда муниципального образования</w:t>
            </w:r>
          </w:p>
        </w:tc>
        <w:tc>
          <w:tcPr>
            <w:tcW w:w="510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1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(наименование практики с кратким отражением реализуемой практики)</w:t>
            </w:r>
          </w:p>
        </w:tc>
      </w:tr>
      <w:tr>
        <w:tc>
          <w:tcPr>
            <w:tcW w:w="567" w:type="dxa"/>
            <w:vMerge w:val="restart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402" w:type="dxa"/>
            <w:vMerge w:val="restart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Описание механизмов и мероприятий, составляющих практику по внедрению бренда муниципального образования</w:t>
            </w:r>
          </w:p>
        </w:tc>
        <w:tc>
          <w:tcPr>
            <w:tcW w:w="510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1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(краткое описание механизмов, применяемых при реализации практики)</w:t>
            </w:r>
          </w:p>
        </w:tc>
      </w:tr>
      <w:tr>
        <w:tc>
          <w:tcPr>
            <w:tcW w:w="567" w:type="dxa"/>
            <w:vMerge w:val="restart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3402" w:type="dxa"/>
            <w:vMerge w:val="restart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Результаты применения механизмов по внедрению бренда муниципального образования</w:t>
            </w:r>
          </w:p>
        </w:tc>
        <w:tc>
          <w:tcPr>
            <w:tcW w:w="5102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1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краткое описание достигнутых результатов при реализации практики, включая цифровые значения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3402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Презентационные материалы (не более 7 слайдов)</w:t>
            </w:r>
          </w:p>
        </w:tc>
        <w:tc>
          <w:tcPr>
            <w:tcW w:w="5102" w:type="dxa"/>
          </w:tcPr>
          <w:p>
            <w:pPr>
              <w:pStyle w:val="0"/>
            </w:pPr>
            <w:r>
              <w:rPr>
                <w:sz w:val="24"/>
              </w:rPr>
              <w:t xml:space="preserve">Прикладываются в качестве приложения к настоящей конкурсной заявке.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Показатели, характеризующие деятельность</w:t>
      </w:r>
    </w:p>
    <w:p>
      <w:pPr>
        <w:pStyle w:val="1"/>
        <w:jc w:val="both"/>
      </w:pPr>
      <w:r>
        <w:rPr>
          <w:sz w:val="20"/>
        </w:rPr>
        <w:t xml:space="preserve">                        муниципального образования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</w:tblPr>
      <w:tblGrid>
        <w:gridCol w:w="581"/>
        <w:gridCol w:w="2211"/>
        <w:gridCol w:w="5215"/>
        <w:gridCol w:w="1099"/>
      </w:tblGrid>
      <w:tr>
        <w:tc>
          <w:tcPr>
            <w:tcW w:w="58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Показатель</w:t>
            </w:r>
          </w:p>
        </w:tc>
        <w:tc>
          <w:tcPr>
            <w:tcW w:w="6314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Значение показателя и исходные данные для его расчета</w:t>
            </w:r>
          </w:p>
        </w:tc>
      </w:tr>
      <w:tr>
        <w:tc>
          <w:tcPr>
            <w:tcW w:w="58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6314" w:type="dxa"/>
            <w:gridSpan w:val="2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9106" w:type="dxa"/>
            <w:gridSpan w:val="4"/>
          </w:tcPr>
          <w:p>
            <w:pPr>
              <w:pStyle w:val="0"/>
              <w:jc w:val="both"/>
              <w:outlineLvl w:val="2"/>
            </w:pPr>
            <w:r>
              <w:rPr>
                <w:sz w:val="24"/>
              </w:rPr>
              <w:t xml:space="preserve">1. Рост предпринимательской активности</w:t>
            </w:r>
          </w:p>
        </w:tc>
      </w:tr>
      <w:tr>
        <w:tc>
          <w:tcPr>
            <w:tcW w:w="581" w:type="dxa"/>
            <w:vMerge w:val="restart"/>
          </w:tcPr>
          <w:bookmarkStart w:id="115" w:name="P115"/>
          <w:bookmarkEnd w:id="115"/>
          <w:p>
            <w:pPr>
              <w:pStyle w:val="0"/>
              <w:jc w:val="center"/>
            </w:pPr>
            <w:r>
              <w:rPr>
                <w:sz w:val="24"/>
              </w:rPr>
              <w:t xml:space="preserve">1.1</w:t>
            </w:r>
          </w:p>
        </w:tc>
        <w:tc>
          <w:tcPr>
            <w:tcW w:w="2211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Средний темп роста числа малых и средних предприятий, индивидуальных предпринимателей на территории муниципального образования за четыре последних отчетных финансовых года</w:t>
            </w:r>
          </w:p>
        </w:tc>
        <w:tc>
          <w:tcPr>
            <w:tcW w:w="6314" w:type="dxa"/>
            <w:gridSpan w:val="2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position w:val="-13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930650" cy="317500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10">
                                <a:extLst>
                                  <a:ext uri="{96DAC541-7B7A-43D3-8B79-37D633B846F1}">
                                    <asvg:svgBlip xmlns:asvg="http://schemas.microsoft.com/office/drawing/2016/SVG/main" r:embed="rId11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930650" cy="317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9.50pt;height:25.00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314" w:type="dxa"/>
            <w:gridSpan w:val="2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где "&lt;...&gt;" имеет соответствующее значение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- число малых и средних предприятий, индивидуальных предпринимателей на территории муниципального образования за год, предшествующий году подачи конкурсной заявки (единиц)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- число малых и средних предприятий, индивидуальных предпринимателей на территории муниципального образования за 2 года, предшествующих году подачи конкурсной заявки (единиц)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- число малых и средних предприятий, индивидуальных предпринимателей на территории муниципального образования за 3 года, предшествующих году подачи конкурсной заявки (единиц)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число малых и средних предприятий, индивидуальных предпринимателей на территории муниципального образования за 4 года, предшествующих году подачи конкурсной заявки (единиц)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581" w:type="dxa"/>
            <w:vMerge w:val="restart"/>
          </w:tcPr>
          <w:bookmarkStart w:id="127" w:name="P127"/>
          <w:bookmarkEnd w:id="127"/>
          <w:p>
            <w:pPr>
              <w:pStyle w:val="0"/>
            </w:pPr>
            <w:r>
              <w:rPr>
                <w:sz w:val="24"/>
              </w:rPr>
              <w:t xml:space="preserve">1.2</w:t>
            </w:r>
          </w:p>
        </w:tc>
        <w:tc>
          <w:tcPr>
            <w:tcW w:w="2211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Средний темп роста числа малых и средних предприятий, индивидуальных предпринимателей сферы услуг на территории муниципального образования за четыре последних отчетных финансовых года</w:t>
            </w:r>
          </w:p>
        </w:tc>
        <w:tc>
          <w:tcPr>
            <w:tcW w:w="6314" w:type="dxa"/>
            <w:gridSpan w:val="2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position w:val="-13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930650" cy="317500"/>
                      <wp:effectExtent l="0" t="0" r="0" b="0"/>
                      <wp:docPr id="2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12">
                                <a:extLst>
                                  <a:ext uri="{96DAC541-7B7A-43D3-8B79-37D633B846F1}">
                                    <asvg:svgBlip xmlns:asvg="http://schemas.microsoft.com/office/drawing/2016/SVG/main" r:embed="rId13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930650" cy="317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309.50pt;height:25.00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314" w:type="dxa"/>
            <w:gridSpan w:val="2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где "&lt;...&gt;" имеет соответствующее значение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- число малых и средних предприятий, индивидуальных предпринимателей, основной вид деятельности которых относится к </w:t>
            </w:r>
            <w:hyperlink r:id="rId14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разделам G</w:t>
              </w:r>
            </w:hyperlink>
            <w:r>
              <w:rPr>
                <w:sz w:val="24"/>
              </w:rPr>
              <w:t xml:space="preserve">, </w:t>
            </w:r>
            <w:hyperlink r:id="rId15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I</w:t>
              </w:r>
            </w:hyperlink>
            <w:r>
              <w:rPr>
                <w:sz w:val="24"/>
              </w:rPr>
              <w:t xml:space="preserve">, </w:t>
            </w:r>
            <w:hyperlink r:id="rId16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J</w:t>
              </w:r>
            </w:hyperlink>
            <w:r>
              <w:rPr>
                <w:sz w:val="24"/>
              </w:rPr>
              <w:t xml:space="preserve">, </w:t>
            </w:r>
            <w:hyperlink r:id="rId17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K</w:t>
              </w:r>
            </w:hyperlink>
            <w:r>
              <w:rPr>
                <w:sz w:val="24"/>
              </w:rPr>
              <w:t xml:space="preserve">, </w:t>
            </w:r>
            <w:hyperlink r:id="rId18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L</w:t>
              </w:r>
            </w:hyperlink>
            <w:r>
              <w:rPr>
                <w:sz w:val="24"/>
              </w:rPr>
              <w:t xml:space="preserve">, </w:t>
            </w:r>
            <w:hyperlink r:id="rId19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N</w:t>
              </w:r>
            </w:hyperlink>
            <w:r>
              <w:rPr>
                <w:sz w:val="24"/>
              </w:rPr>
              <w:t xml:space="preserve">, </w:t>
            </w:r>
            <w:hyperlink r:id="rId20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R</w:t>
              </w:r>
            </w:hyperlink>
            <w:r>
              <w:rPr>
                <w:sz w:val="24"/>
              </w:rPr>
              <w:t xml:space="preserve">, </w:t>
            </w:r>
            <w:hyperlink r:id="rId21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S</w:t>
              </w:r>
            </w:hyperlink>
            <w:r>
              <w:rPr>
                <w:sz w:val="24"/>
              </w:rPr>
              <w:t xml:space="preserve"> Общероссийского классификатора видов экономической деятельности (далее - ОКВЭД), на территории муниципального образования за год, предшествующий году подачи конкурсной заявки (единиц)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- число малых и средних предприятий, индивидуальных предпринимателей, основной вид деятельности которых относится к </w:t>
            </w:r>
            <w:hyperlink r:id="rId22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разделам G</w:t>
              </w:r>
            </w:hyperlink>
            <w:r>
              <w:rPr>
                <w:sz w:val="24"/>
              </w:rPr>
              <w:t xml:space="preserve">, </w:t>
            </w:r>
            <w:hyperlink r:id="rId23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I</w:t>
              </w:r>
            </w:hyperlink>
            <w:r>
              <w:rPr>
                <w:sz w:val="24"/>
              </w:rPr>
              <w:t xml:space="preserve">, </w:t>
            </w:r>
            <w:hyperlink r:id="rId24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J</w:t>
              </w:r>
            </w:hyperlink>
            <w:r>
              <w:rPr>
                <w:sz w:val="24"/>
              </w:rPr>
              <w:t xml:space="preserve">, </w:t>
            </w:r>
            <w:hyperlink r:id="rId25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K</w:t>
              </w:r>
            </w:hyperlink>
            <w:r>
              <w:rPr>
                <w:sz w:val="24"/>
              </w:rPr>
              <w:t xml:space="preserve">, </w:t>
            </w:r>
            <w:hyperlink r:id="rId26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L</w:t>
              </w:r>
            </w:hyperlink>
            <w:r>
              <w:rPr>
                <w:sz w:val="24"/>
              </w:rPr>
              <w:t xml:space="preserve">, </w:t>
            </w:r>
            <w:hyperlink r:id="rId27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N</w:t>
              </w:r>
            </w:hyperlink>
            <w:r>
              <w:rPr>
                <w:sz w:val="24"/>
              </w:rPr>
              <w:t xml:space="preserve">, </w:t>
            </w:r>
            <w:hyperlink r:id="rId28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R</w:t>
              </w:r>
            </w:hyperlink>
            <w:r>
              <w:rPr>
                <w:sz w:val="24"/>
              </w:rPr>
              <w:t xml:space="preserve">, </w:t>
            </w:r>
            <w:hyperlink r:id="rId29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S</w:t>
              </w:r>
            </w:hyperlink>
            <w:r>
              <w:rPr>
                <w:sz w:val="24"/>
              </w:rPr>
              <w:t xml:space="preserve"> ОКВЭД, на территории муниципального образования за 2 года, предшествующих году подачи конкурсной заявки (единиц)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- число малых и средних предприятий, индивидуальных предпринимателей, основной вид деятельности которых относится к </w:t>
            </w:r>
            <w:hyperlink r:id="rId30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разделам G</w:t>
              </w:r>
            </w:hyperlink>
            <w:r>
              <w:rPr>
                <w:sz w:val="24"/>
              </w:rPr>
              <w:t xml:space="preserve">, </w:t>
            </w:r>
            <w:hyperlink r:id="rId31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I</w:t>
              </w:r>
            </w:hyperlink>
            <w:r>
              <w:rPr>
                <w:sz w:val="24"/>
              </w:rPr>
              <w:t xml:space="preserve">, </w:t>
            </w:r>
            <w:hyperlink r:id="rId32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J</w:t>
              </w:r>
            </w:hyperlink>
            <w:r>
              <w:rPr>
                <w:sz w:val="24"/>
              </w:rPr>
              <w:t xml:space="preserve">, </w:t>
            </w:r>
            <w:hyperlink r:id="rId33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K</w:t>
              </w:r>
            </w:hyperlink>
            <w:r>
              <w:rPr>
                <w:sz w:val="24"/>
              </w:rPr>
              <w:t xml:space="preserve">, </w:t>
            </w:r>
            <w:hyperlink r:id="rId34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L</w:t>
              </w:r>
            </w:hyperlink>
            <w:r>
              <w:rPr>
                <w:sz w:val="24"/>
              </w:rPr>
              <w:t xml:space="preserve">, </w:t>
            </w:r>
            <w:hyperlink r:id="rId35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N</w:t>
              </w:r>
            </w:hyperlink>
            <w:r>
              <w:rPr>
                <w:sz w:val="24"/>
              </w:rPr>
              <w:t xml:space="preserve">, </w:t>
            </w:r>
            <w:hyperlink r:id="rId36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R</w:t>
              </w:r>
            </w:hyperlink>
            <w:r>
              <w:rPr>
                <w:sz w:val="24"/>
              </w:rPr>
              <w:t xml:space="preserve">, </w:t>
            </w:r>
            <w:hyperlink r:id="rId37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S</w:t>
              </w:r>
            </w:hyperlink>
            <w:r>
              <w:rPr>
                <w:sz w:val="24"/>
              </w:rPr>
              <w:t xml:space="preserve"> ОКВЭД, на территории муниципального образования за 3 года, предшествующих году подачи конкурсной заявки (единиц)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число малых и средних предприятий, индивидуальных предпринимателей, основной вид деятельности которых относится к </w:t>
            </w:r>
            <w:hyperlink r:id="rId38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разделам G</w:t>
              </w:r>
            </w:hyperlink>
            <w:r>
              <w:rPr>
                <w:sz w:val="24"/>
              </w:rPr>
              <w:t xml:space="preserve">, </w:t>
            </w:r>
            <w:hyperlink r:id="rId39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I</w:t>
              </w:r>
            </w:hyperlink>
            <w:r>
              <w:rPr>
                <w:sz w:val="24"/>
              </w:rPr>
              <w:t xml:space="preserve">, </w:t>
            </w:r>
            <w:hyperlink r:id="rId40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J</w:t>
              </w:r>
            </w:hyperlink>
            <w:r>
              <w:rPr>
                <w:sz w:val="24"/>
              </w:rPr>
              <w:t xml:space="preserve">, </w:t>
            </w:r>
            <w:hyperlink r:id="rId41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K</w:t>
              </w:r>
            </w:hyperlink>
            <w:r>
              <w:rPr>
                <w:sz w:val="24"/>
              </w:rPr>
              <w:t xml:space="preserve">, </w:t>
            </w:r>
            <w:hyperlink r:id="rId42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L</w:t>
              </w:r>
            </w:hyperlink>
            <w:r>
              <w:rPr>
                <w:sz w:val="24"/>
              </w:rPr>
              <w:t xml:space="preserve">, </w:t>
            </w:r>
            <w:hyperlink r:id="rId43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N</w:t>
              </w:r>
            </w:hyperlink>
            <w:r>
              <w:rPr>
                <w:sz w:val="24"/>
              </w:rPr>
              <w:t xml:space="preserve">, </w:t>
            </w:r>
            <w:hyperlink r:id="rId44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R</w:t>
              </w:r>
            </w:hyperlink>
            <w:r>
              <w:rPr>
                <w:sz w:val="24"/>
              </w:rPr>
              <w:t xml:space="preserve">, </w:t>
            </w:r>
            <w:hyperlink r:id="rId45" w:tooltip="&quot;ОК 029-2014 (КДЕС Ред. 2). Общероссийский классификатор видов экономической деятельности&quot; (утв. Приказом Росстандарта от 31.01.2014 N 14-ст) (ред. от 23.01.2026) {КонсультантПлюс}" w:history="0">
              <w:r>
                <w:rPr>
                  <w:color w:val="0000ff"/>
                  <w:sz w:val="24"/>
                </w:rPr>
                <w:t xml:space="preserve">S</w:t>
              </w:r>
            </w:hyperlink>
            <w:r>
              <w:rPr>
                <w:sz w:val="24"/>
              </w:rPr>
              <w:t xml:space="preserve"> ОКВЭД, на территории муниципального образования за 4 года, предшествующих году подачи конкурсной заявки (единиц)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581" w:type="dxa"/>
            <w:vMerge w:val="restart"/>
          </w:tcPr>
          <w:bookmarkStart w:id="139" w:name="P139"/>
          <w:bookmarkEnd w:id="139"/>
          <w:p>
            <w:pPr>
              <w:pStyle w:val="0"/>
            </w:pPr>
            <w:r>
              <w:rPr>
                <w:sz w:val="24"/>
              </w:rPr>
              <w:t xml:space="preserve">1.3</w:t>
            </w:r>
          </w:p>
        </w:tc>
        <w:tc>
          <w:tcPr>
            <w:tcW w:w="2211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Средний темп роста суммы налогов, уплачиваемых в связи с применением упрощенной системы налогообложения, на территории муниципального образования за четыре последних отчетных финансовых года</w:t>
            </w:r>
          </w:p>
        </w:tc>
        <w:tc>
          <w:tcPr>
            <w:tcW w:w="6314" w:type="dxa"/>
            <w:gridSpan w:val="2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position w:val="-13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930650" cy="317500"/>
                      <wp:effectExtent l="0" t="0" r="0" b="0"/>
                      <wp:docPr id="3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46">
                                <a:extLst>
                                  <a:ext uri="{96DAC541-7B7A-43D3-8B79-37D633B846F1}">
                                    <asvg:svgBlip xmlns:asvg="http://schemas.microsoft.com/office/drawing/2016/SVG/main" r:embed="rId47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930650" cy="317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309.50pt;height:25.00pt;mso-wrap-distance-left:0.00pt;mso-wrap-distance-top:0.00pt;mso-wrap-distance-right:0.00pt;mso-wrap-distance-bottom:0.00pt;" stroked="f">
                      <v:path textboxrect="0,0,0,0"/>
                      <v:imagedata r:id="rId46" o:title=""/>
                    </v:shape>
                  </w:pict>
                </mc:Fallback>
              </mc:AlternateContent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314" w:type="dxa"/>
            <w:gridSpan w:val="2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где "&lt;...&gt;" имеет соответствующее значение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- сумма налога, подлежащего уплате в связи с применением упрощенной системы налогообложения, на территории муниципального образования за год, предшествующий году подачи конкурсной заявки (млн рублей)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- сумма налога, подлежащего уплате в связи с применением упрощенной системы налогообложения, на территории муниципального образования за 2 года, предшествующих году подачи конкурсной заявки (млн рублей)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- сумма налога, подлежащего уплате в связи с применением упрощенной системы налогообложения, на территории муниципального образования за 3 года, предшествующих году подачи конкурсной заявки (млн рублей)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сумма налога, подлежащего уплате в связи с применением упрощенной системы налогообложения, на территории муниципального образования за 4 года, предшествующих году подачи конкурсной заявки (млн рублей)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9106" w:type="dxa"/>
            <w:gridSpan w:val="4"/>
          </w:tcPr>
          <w:p>
            <w:pPr>
              <w:pStyle w:val="0"/>
              <w:jc w:val="both"/>
              <w:outlineLvl w:val="2"/>
            </w:pPr>
            <w:r>
              <w:rPr>
                <w:sz w:val="24"/>
              </w:rPr>
              <w:t xml:space="preserve">2. Рост объема инвестиций</w:t>
            </w:r>
          </w:p>
        </w:tc>
      </w:tr>
      <w:tr>
        <w:tc>
          <w:tcPr>
            <w:tcW w:w="581" w:type="dxa"/>
            <w:vMerge w:val="restart"/>
          </w:tcPr>
          <w:bookmarkStart w:id="152" w:name="P152"/>
          <w:bookmarkEnd w:id="152"/>
          <w:p>
            <w:pPr>
              <w:pStyle w:val="0"/>
            </w:pPr>
            <w:r>
              <w:rPr>
                <w:sz w:val="24"/>
              </w:rPr>
              <w:t xml:space="preserve">2.1</w:t>
            </w:r>
          </w:p>
        </w:tc>
        <w:tc>
          <w:tcPr>
            <w:tcW w:w="2211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Средний темп роста объема инвестиций в основной капитал (за исключением бюджетных средств) на территории муниципального образования за четыре последних отчетных финансовых года</w:t>
            </w:r>
          </w:p>
        </w:tc>
        <w:tc>
          <w:tcPr>
            <w:tcW w:w="6314" w:type="dxa"/>
            <w:gridSpan w:val="2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position w:val="-1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930650" cy="316230"/>
                      <wp:effectExtent l="0" t="0" r="0" b="0"/>
                      <wp:docPr id="4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48">
                                <a:extLst>
                                  <a:ext uri="{96DAC541-7B7A-43D3-8B79-37D633B846F1}">
                                    <asvg:svgBlip xmlns:asvg="http://schemas.microsoft.com/office/drawing/2016/SVG/main" r:embed="rId49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930650" cy="3162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309.50pt;height:24.90pt;mso-wrap-distance-left:0.00pt;mso-wrap-distance-top:0.00pt;mso-wrap-distance-right:0.00pt;mso-wrap-distance-bottom:0.00pt;" stroked="f">
                      <v:path textboxrect="0,0,0,0"/>
                      <v:imagedata r:id="rId48" o:title=""/>
                    </v:shape>
                  </w:pict>
                </mc:Fallback>
              </mc:AlternateContent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314" w:type="dxa"/>
            <w:gridSpan w:val="2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где "&lt;...&gt;" имеет соответствующее значение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- объем инвестиций в основной капитал (за исключением бюджетных средств) на территории муниципального образования за год, предшествующий году подачи конкурсной заявки (млн рублей)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- объем инвестиций в основной капитал (за исключением бюджетных средств) на территории муниципального образования за 2 года, предшествующих году подачи конкурсной заявки (млн рублей)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- объем инвестиций в основной капитал (за исключением бюджетных средств) на территории муниципального образования за 3 года, предшествующих году подачи конкурсной заявки (млн рублей)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объем инвестиций в основной капитал (за исключением бюджетных средств) на территории муниципального образования за 4 года, предшествующих году подачи конкурсной заявки (млн рублей)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8007" w:type="dxa"/>
            <w:gridSpan w:val="3"/>
          </w:tcPr>
          <w:p>
            <w:pPr>
              <w:pStyle w:val="0"/>
              <w:jc w:val="both"/>
              <w:outlineLvl w:val="2"/>
            </w:pPr>
            <w:r>
              <w:rPr>
                <w:sz w:val="24"/>
              </w:rPr>
              <w:t xml:space="preserve">3. Увеличение туристического потока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Merge w:val="restart"/>
          </w:tcPr>
          <w:bookmarkStart w:id="166" w:name="P166"/>
          <w:bookmarkEnd w:id="166"/>
          <w:p>
            <w:pPr>
              <w:pStyle w:val="0"/>
            </w:pPr>
            <w:r>
              <w:rPr>
                <w:sz w:val="24"/>
              </w:rPr>
              <w:t xml:space="preserve">3.1</w:t>
            </w:r>
          </w:p>
        </w:tc>
        <w:tc>
          <w:tcPr>
            <w:tcW w:w="2211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Средний темп роста численности размещенных лиц в коллективных средствах размещения на территории муниципального образования за четыре последних отчетных года</w:t>
            </w:r>
          </w:p>
        </w:tc>
        <w:tc>
          <w:tcPr>
            <w:tcW w:w="6314" w:type="dxa"/>
            <w:gridSpan w:val="2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position w:val="-1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930650" cy="316230"/>
                      <wp:effectExtent l="0" t="0" r="0" b="0"/>
                      <wp:docPr id="5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50">
                                <a:extLst>
                                  <a:ext uri="{96DAC541-7B7A-43D3-8B79-37D633B846F1}">
                                    <asvg:svgBlip xmlns:asvg="http://schemas.microsoft.com/office/drawing/2016/SVG/main" r:embed="rId51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930650" cy="3162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309.50pt;height:24.90pt;mso-wrap-distance-left:0.00pt;mso-wrap-distance-top:0.00pt;mso-wrap-distance-right:0.00pt;mso-wrap-distance-bottom:0.00pt;" stroked="f">
                      <v:path textboxrect="0,0,0,0"/>
                      <v:imagedata r:id="rId50" o:title=""/>
                    </v:shape>
                  </w:pict>
                </mc:Fallback>
              </mc:AlternateContent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314" w:type="dxa"/>
            <w:gridSpan w:val="2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где "&lt;...&gt;" указывается соответствующее значение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- численность размещенных лиц в коллективных средствах размещения на территории муниципального образования за год, предшествующий году подачи конкурсной заявки (человек)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- численность размещенных лиц в коллективных средствах размещения на территории муниципального образования за 2 года, предшествующих году подачи конкурсной заявки (человек)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- численность размещенных лиц в коллективных средствах размещения на территории муниципального образования за 3 года, предшествующих году подачи конкурсной заявки (человек)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численность размещенных лиц в коллективных средствах размещения на территории муниципального образования за 4 года, предшествующих году подачи конкурсной заявки (человек)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581" w:type="dxa"/>
            <w:vMerge w:val="restart"/>
          </w:tcPr>
          <w:bookmarkStart w:id="178" w:name="P178"/>
          <w:bookmarkEnd w:id="178"/>
          <w:p>
            <w:pPr>
              <w:pStyle w:val="0"/>
            </w:pPr>
            <w:r>
              <w:rPr>
                <w:sz w:val="24"/>
              </w:rPr>
              <w:t xml:space="preserve">3.2</w:t>
            </w:r>
          </w:p>
        </w:tc>
        <w:tc>
          <w:tcPr>
            <w:tcW w:w="2211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Средний темп роста продолжительности пребывания туристов в муниципальном образовании за четыре последних отчетных года</w:t>
            </w:r>
          </w:p>
        </w:tc>
        <w:tc>
          <w:tcPr>
            <w:tcW w:w="6314" w:type="dxa"/>
            <w:gridSpan w:val="2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position w:val="-3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930650" cy="541655"/>
                      <wp:effectExtent l="0" t="0" r="0" b="0"/>
                      <wp:docPr id="6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52">
                                <a:extLst>
                                  <a:ext uri="{96DAC541-7B7A-43D3-8B79-37D633B846F1}">
                                    <asvg:svgBlip xmlns:asvg="http://schemas.microsoft.com/office/drawing/2016/SVG/main" r:embed="rId53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930650" cy="541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309.50pt;height:42.65pt;mso-wrap-distance-left:0.00pt;mso-wrap-distance-top:0.00pt;mso-wrap-distance-right:0.00pt;mso-wrap-distance-bottom:0.00pt;" stroked="f">
                      <v:path textboxrect="0,0,0,0"/>
                      <v:imagedata r:id="rId52" o:title=""/>
                    </v:shape>
                  </w:pict>
                </mc:Fallback>
              </mc:AlternateContent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314" w:type="dxa"/>
            <w:gridSpan w:val="2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где "&lt;...&gt;" имеет соответствующее значение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- число ночевок в коллективных средствах размещения на территории муниципального образования за год, предшествующий году подачи конкурсной заявки (единиц)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- численность размещенных лиц в коллективных средствах размещения на территории муниципального образования за год, предшествующий году подачи конкурсной заявки (человек)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- число ночевок в коллективных средствах размещения на территории муниципального образования за 2 года, предшествующих году подачи конкурсной заявки (единиц)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- численность размещенных лиц в коллективных средствах размещения на территории муниципального образования за 2 года, предшествующих году подачи конкурсной заявки (человек)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- число ночевок в коллективных средствах размещения на территории муниципального образования за 3 года, предшествующих году подачи конкурсной заявки (единиц)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- численность размещенных лиц в коллективных средствах размещения на территории муниципального образования за 3 года, предшествующих году подачи конкурсной заявки (человек)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число ночевок в коллективных средствах размещения на территории муниципального образования за 4 года, предшествующих году подачи конкурсной заявки (единиц)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численность размещенных лиц в коллективных средствах размещения на территории муниципального образования за 4 года, предшествующих году подачи конкурсной заявки (человек)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581" w:type="dxa"/>
            <w:vMerge w:val="restart"/>
          </w:tcPr>
          <w:bookmarkStart w:id="198" w:name="P198"/>
          <w:bookmarkEnd w:id="198"/>
          <w:p>
            <w:pPr>
              <w:pStyle w:val="0"/>
            </w:pPr>
            <w:r>
              <w:rPr>
                <w:sz w:val="24"/>
              </w:rPr>
              <w:t xml:space="preserve">3.3</w:t>
            </w:r>
          </w:p>
        </w:tc>
        <w:tc>
          <w:tcPr>
            <w:tcW w:w="2211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Средний темп роста числа коллективных средств размещения на территории муниципального образования за четыре последних отчетных года</w:t>
            </w:r>
          </w:p>
        </w:tc>
        <w:tc>
          <w:tcPr>
            <w:tcW w:w="6314" w:type="dxa"/>
            <w:gridSpan w:val="2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position w:val="-1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930650" cy="316230"/>
                      <wp:effectExtent l="0" t="0" r="0" b="0"/>
                      <wp:docPr id="7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54">
                                <a:extLst>
                                  <a:ext uri="{96DAC541-7B7A-43D3-8B79-37D633B846F1}">
                                    <asvg:svgBlip xmlns:asvg="http://schemas.microsoft.com/office/drawing/2016/SVG/main" r:embed="rId55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930650" cy="3162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309.50pt;height:24.90pt;mso-wrap-distance-left:0.00pt;mso-wrap-distance-top:0.00pt;mso-wrap-distance-right:0.00pt;mso-wrap-distance-bottom:0.00pt;" stroked="f">
                      <v:path textboxrect="0,0,0,0"/>
                      <v:imagedata r:id="rId54" o:title=""/>
                    </v:shape>
                  </w:pict>
                </mc:Fallback>
              </mc:AlternateContent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314" w:type="dxa"/>
            <w:gridSpan w:val="2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где "&lt;...&gt;" имеет соответствующее значение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- число коллективных средств размещения на территории муниципального образования за год, предшествующий году подачи конкурсной заявки (единиц)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- число коллективных средств размещения на территории муниципального образования за 2 года, предшествующих году подачи конкурсной заявки (единиц)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- число коллективных средств размещения на территории муниципального образования за 3 года, предшествующих году подачи конкурсной заявки (единиц)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число коллективных средств размещения на территории муниципального образования за 4 года, предшествующих году подачи конкурсной заявки (единиц)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8007" w:type="dxa"/>
            <w:gridSpan w:val="3"/>
          </w:tcPr>
          <w:p>
            <w:pPr>
              <w:pStyle w:val="0"/>
              <w:jc w:val="both"/>
              <w:outlineLvl w:val="2"/>
            </w:pPr>
            <w:r>
              <w:rPr>
                <w:sz w:val="24"/>
              </w:rPr>
              <w:t xml:space="preserve">4. Рост узнаваемости территории муниципального образования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Merge w:val="restart"/>
          </w:tcPr>
          <w:bookmarkStart w:id="212" w:name="P212"/>
          <w:bookmarkEnd w:id="212"/>
          <w:p>
            <w:pPr>
              <w:pStyle w:val="0"/>
            </w:pPr>
            <w:r>
              <w:rPr>
                <w:sz w:val="24"/>
              </w:rPr>
              <w:t xml:space="preserve">4.1</w:t>
            </w:r>
          </w:p>
        </w:tc>
        <w:tc>
          <w:tcPr>
            <w:tcW w:w="2211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Средний темп роста числа поисковых запросов в информационно-телекоммуникационной сети "Интернет" (далее - сеть "Интернет"), связанных с территорией муниципального образования за четыре последних отчетных года</w:t>
            </w:r>
          </w:p>
        </w:tc>
        <w:tc>
          <w:tcPr>
            <w:tcW w:w="6314" w:type="dxa"/>
            <w:gridSpan w:val="2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position w:val="-1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930650" cy="316230"/>
                      <wp:effectExtent l="0" t="0" r="0" b="0"/>
                      <wp:docPr id="8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56">
                                <a:extLst>
                                  <a:ext uri="{96DAC541-7B7A-43D3-8B79-37D633B846F1}">
                                    <asvg:svgBlip xmlns:asvg="http://schemas.microsoft.com/office/drawing/2016/SVG/main" r:embed="rId57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930650" cy="3162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width:309.50pt;height:24.90pt;mso-wrap-distance-left:0.00pt;mso-wrap-distance-top:0.00pt;mso-wrap-distance-right:0.00pt;mso-wrap-distance-bottom:0.00pt;" stroked="f">
                      <v:path textboxrect="0,0,0,0"/>
                      <v:imagedata r:id="rId56" o:title=""/>
                    </v:shape>
                  </w:pict>
                </mc:Fallback>
              </mc:AlternateContent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314" w:type="dxa"/>
            <w:gridSpan w:val="2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где "&lt;...&gt;" имеет соответствующее значение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- число поисковых запросов в сети "Интернет", связанных с территорией муниципального образования, за год, предшествующий году подачи конкурсной заявки (единиц)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- число поисковых запросов в сети "Интернет", связанных с территорией муниципального образования, за 2 года, предшествующих году подачи конкурсной заявки (единиц)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- число поисковых запросов в сети "Интернет", связанных с территорией муниципального образования, за 3 года, предшествующих году подачи конкурсной заявки (единиц)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число поисковых запросов в сети "Интернет", связанных с территорией муниципального образования, за 4 года, предшествующих году подачи конкурсной заявки (единиц)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8007" w:type="dxa"/>
            <w:gridSpan w:val="3"/>
          </w:tcPr>
          <w:p>
            <w:pPr>
              <w:pStyle w:val="0"/>
              <w:jc w:val="both"/>
              <w:outlineLvl w:val="2"/>
            </w:pPr>
            <w:r>
              <w:rPr>
                <w:sz w:val="24"/>
              </w:rPr>
              <w:t xml:space="preserve">5. Рост благосостояния населения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81" w:type="dxa"/>
            <w:vMerge w:val="restart"/>
          </w:tcPr>
          <w:bookmarkStart w:id="226" w:name="P226"/>
          <w:bookmarkEnd w:id="226"/>
          <w:p>
            <w:pPr>
              <w:pStyle w:val="0"/>
            </w:pPr>
            <w:r>
              <w:rPr>
                <w:sz w:val="24"/>
              </w:rPr>
              <w:t xml:space="preserve">5.1</w:t>
            </w:r>
          </w:p>
        </w:tc>
        <w:tc>
          <w:tcPr>
            <w:tcW w:w="2211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Средний темп роста среднемесячной заработной платы работников организаций на территории муниципального образования за четыре последних отчетных финансовых года</w:t>
            </w:r>
          </w:p>
        </w:tc>
        <w:tc>
          <w:tcPr>
            <w:tcW w:w="6314" w:type="dxa"/>
            <w:gridSpan w:val="2"/>
            <w:tcBorders>
              <w:bottom w:val="none"/>
            </w:tcBorders>
          </w:tcPr>
          <w:p>
            <w:pPr>
              <w:pStyle w:val="0"/>
              <w:jc w:val="both"/>
            </w:pPr>
            <w:r>
              <w:rPr>
                <w:position w:val="-1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930650" cy="316230"/>
                      <wp:effectExtent l="0" t="0" r="0" b="0"/>
                      <wp:docPr id="9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58">
                                <a:extLst>
                                  <a:ext uri="{96DAC541-7B7A-43D3-8B79-37D633B846F1}">
                                    <asvg:svgBlip xmlns:asvg="http://schemas.microsoft.com/office/drawing/2016/SVG/main" r:embed="rId59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930650" cy="3162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width:309.50pt;height:24.90pt;mso-wrap-distance-left:0.00pt;mso-wrap-distance-top:0.00pt;mso-wrap-distance-right:0.00pt;mso-wrap-distance-bottom:0.00pt;" stroked="f">
                      <v:path textboxrect="0,0,0,0"/>
                      <v:imagedata r:id="rId58" o:title=""/>
                    </v:shape>
                  </w:pict>
                </mc:Fallback>
              </mc:AlternateContent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314" w:type="dxa"/>
            <w:gridSpan w:val="2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где "&lt;...&gt;" имеет соответствующее значение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- среднемесячная заработная плата работников организаций на территории муниципального образования за год, предшествующий году подачи конкурсной заявки (рублей)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- среднемесячная заработная плата работников организаций на территории муниципального образования за 2 года, предшествующих году подачи конкурсной заявки (рублей)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- среднемесячная заработная плата работников организаций на территории муниципального образования за 3 года, предшествующих году подачи конкурсной заявки (рублей)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среднемесячная заработная плата работников организаций на территории муниципального образования за 4 года, предшествующих году подачи конкурсной заявки (рублей)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581" w:type="dxa"/>
            <w:vMerge w:val="restart"/>
          </w:tcPr>
          <w:bookmarkStart w:id="238" w:name="P238"/>
          <w:bookmarkEnd w:id="238"/>
          <w:p>
            <w:pPr>
              <w:pStyle w:val="0"/>
            </w:pPr>
            <w:r>
              <w:rPr>
                <w:sz w:val="24"/>
              </w:rPr>
              <w:t xml:space="preserve">5.2</w:t>
            </w:r>
          </w:p>
        </w:tc>
        <w:tc>
          <w:tcPr>
            <w:tcW w:w="2211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Средний темп роста оборота общественного питания на территории муниципального образования за четыре последних отчетных финансовых года</w:t>
            </w:r>
          </w:p>
        </w:tc>
        <w:tc>
          <w:tcPr>
            <w:tcW w:w="6314" w:type="dxa"/>
            <w:gridSpan w:val="2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position w:val="-1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930650" cy="316230"/>
                      <wp:effectExtent l="0" t="0" r="0" b="0"/>
                      <wp:docPr id="10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60">
                                <a:extLst>
                                  <a:ext uri="{96DAC541-7B7A-43D3-8B79-37D633B846F1}">
                                    <asvg:svgBlip xmlns:asvg="http://schemas.microsoft.com/office/drawing/2016/SVG/main" r:embed="rId61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930650" cy="3162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width:309.50pt;height:24.90pt;mso-wrap-distance-left:0.00pt;mso-wrap-distance-top:0.00pt;mso-wrap-distance-right:0.00pt;mso-wrap-distance-bottom:0.00pt;" stroked="f">
                      <v:path textboxrect="0,0,0,0"/>
                      <v:imagedata r:id="rId60" o:title=""/>
                    </v:shape>
                  </w:pict>
                </mc:Fallback>
              </mc:AlternateContent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314" w:type="dxa"/>
            <w:gridSpan w:val="2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где "&lt;...&gt;" имеет соответствующее значение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- оборот общественного питания на территории муниципального образования за год, предшествующий году подачи конкурсной заявки (млн рублей)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- оборот общественного питания на территории муниципального образования за 2 года, предшествующих году подачи конкурсной заявки (млн рублей)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- оборот общественного питания на территории муниципального образования за 3 года, предшествующих году подачи конкурсной заявки (млн рублей)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оборот общественного питания на территории муниципального образования за 4 года, предшествующих году подачи конкурсной заявки (млн рублей)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581" w:type="dxa"/>
            <w:vMerge w:val="restart"/>
          </w:tcPr>
          <w:bookmarkStart w:id="250" w:name="P250"/>
          <w:bookmarkEnd w:id="250"/>
          <w:p>
            <w:pPr>
              <w:pStyle w:val="0"/>
            </w:pPr>
            <w:r>
              <w:rPr>
                <w:sz w:val="24"/>
              </w:rPr>
              <w:t xml:space="preserve">5.3</w:t>
            </w:r>
          </w:p>
        </w:tc>
        <w:tc>
          <w:tcPr>
            <w:tcW w:w="2211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Средний темп роста оборота розничной торговли на территории муниципального образования за четыре последних отчетных финансовых года</w:t>
            </w:r>
          </w:p>
        </w:tc>
        <w:tc>
          <w:tcPr>
            <w:tcW w:w="6314" w:type="dxa"/>
            <w:gridSpan w:val="2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position w:val="-12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930650" cy="316230"/>
                      <wp:effectExtent l="0" t="0" r="0" b="0"/>
                      <wp:docPr id="1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62">
                                <a:extLst>
                                  <a:ext uri="{96DAC541-7B7A-43D3-8B79-37D633B846F1}">
                                    <asvg:svgBlip xmlns:asvg="http://schemas.microsoft.com/office/drawing/2016/SVG/main" r:embed="rId63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930650" cy="3162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width:309.50pt;height:24.90pt;mso-wrap-distance-left:0.00pt;mso-wrap-distance-top:0.00pt;mso-wrap-distance-right:0.00pt;mso-wrap-distance-bottom:0.00pt;" stroked="f">
                      <v:path textboxrect="0,0,0,0"/>
                      <v:imagedata r:id="rId62" o:title=""/>
                    </v:shape>
                  </w:pict>
                </mc:Fallback>
              </mc:AlternateContent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314" w:type="dxa"/>
            <w:gridSpan w:val="2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где "&lt;...&gt;" имеет соответствующее значение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- оборот розничной торговли на территории муниципального образования за год, предшествующий году подачи конкурсной заявки (млн рублей)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- оборот розничной торговли на территории муниципального образования за 2 года, предшествующих году подачи конкурсной заявки (млн рублей)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- оборот розничной торговли на территории муниципального образования за 3 года, предшествующих году подачи конкурсной заявки (млн рублей)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in-3</w:t>
            </w:r>
            <w:r>
              <w:rPr>
                <w:sz w:val="24"/>
              </w:rPr>
              <w:t xml:space="preserve"> - оборот розничной торговли на территории муниципального образования за 4 года, предшествующих году подачи конкурсной заявки (млн рублей)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tcW w:w="9106" w:type="dxa"/>
            <w:gridSpan w:val="4"/>
          </w:tcPr>
          <w:p>
            <w:pPr>
              <w:pStyle w:val="0"/>
              <w:jc w:val="both"/>
              <w:outlineLvl w:val="2"/>
            </w:pPr>
            <w:r>
              <w:rPr>
                <w:sz w:val="24"/>
              </w:rPr>
              <w:t xml:space="preserve">6. Улучшение миграционной ситуации</w:t>
            </w:r>
          </w:p>
        </w:tc>
      </w:tr>
      <w:tr>
        <w:tc>
          <w:tcPr>
            <w:tcW w:w="581" w:type="dxa"/>
            <w:vMerge w:val="restart"/>
          </w:tcPr>
          <w:bookmarkStart w:id="263" w:name="P263"/>
          <w:bookmarkEnd w:id="263"/>
          <w:p>
            <w:pPr>
              <w:pStyle w:val="0"/>
            </w:pPr>
            <w:r>
              <w:rPr>
                <w:sz w:val="24"/>
              </w:rPr>
              <w:t xml:space="preserve">6.1</w:t>
            </w:r>
          </w:p>
        </w:tc>
        <w:tc>
          <w:tcPr>
            <w:tcW w:w="2211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Суммарный коэффициент миграционного прироста населения муниципального образования за три последних отчетных года</w:t>
            </w:r>
          </w:p>
        </w:tc>
        <w:tc>
          <w:tcPr>
            <w:tcW w:w="6314" w:type="dxa"/>
            <w:gridSpan w:val="2"/>
            <w:tcBorders>
              <w:bottom w:val="none"/>
            </w:tcBorders>
          </w:tcPr>
          <w:p>
            <w:pPr>
              <w:pStyle w:val="0"/>
              <w:jc w:val="center"/>
            </w:pPr>
            <w:r>
              <w:rPr>
                <w:position w:val="-3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200400" cy="537210"/>
                      <wp:effectExtent l="0" t="0" r="0" b="0"/>
                      <wp:docPr id="12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64">
                                <a:extLst>
                                  <a:ext uri="{96DAC541-7B7A-43D3-8B79-37D633B846F1}">
                                    <asvg:svgBlip xmlns:asvg="http://schemas.microsoft.com/office/drawing/2016/SVG/main" r:embed="rId65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200400" cy="5372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width:252.00pt;height:42.30pt;mso-wrap-distance-left:0.00pt;mso-wrap-distance-top:0.00pt;mso-wrap-distance-right:0.00pt;mso-wrap-distance-bottom:0.00pt;" stroked="f">
                      <v:path textboxrect="0,0,0,0"/>
                      <v:imagedata r:id="rId64" o:title=""/>
                    </v:shape>
                  </w:pict>
                </mc:Fallback>
              </mc:AlternateContent>
            </w:r>
          </w:p>
        </w:tc>
      </w:tr>
      <w:tr>
        <w:tblPrEx>
          <w:tblBorders>
            <w:insideH w:val="none"/>
          </w:tblBorders>
        </w:tblPrEx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314" w:type="dxa"/>
            <w:gridSpan w:val="2"/>
            <w:tcBorders>
              <w:top w:val="none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где "&lt;...&gt;" имеет соответствующее значение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- миграционный прирост населения муниципального образования за год, предшествующий году подачи конкурсной заявки (человек)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- миграционный прирост населения муниципального образования за 2 года, предшествующих году подачи конкурсной заявки (человек)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A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- миграционный прирост населения муниципального образования за 3 года, предшествующих году подачи конкурсной заявки (человек)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in</w:t>
            </w:r>
            <w:r>
              <w:rPr>
                <w:sz w:val="24"/>
              </w:rPr>
              <w:t xml:space="preserve"> - численность постоянного населения муниципального образования за год, предшествующий году подачи конкурсной заявки (человек)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in-1</w:t>
            </w:r>
            <w:r>
              <w:rPr>
                <w:sz w:val="24"/>
              </w:rPr>
              <w:t xml:space="preserve"> - численность постоянного населения муниципального образования за 2 года, предшествующих году подачи конкурсной заявки (человек)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21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B</w:t>
            </w:r>
            <w:r>
              <w:rPr>
                <w:sz w:val="24"/>
                <w:vertAlign w:val="subscript"/>
              </w:rPr>
              <w:t xml:space="preserve">in-2</w:t>
            </w:r>
            <w:r>
              <w:rPr>
                <w:sz w:val="24"/>
              </w:rPr>
              <w:t xml:space="preserve"> - численность постоянного населения муниципального образования за 3 года, предшествующих году подачи конкурсной заявки (человек)</w:t>
            </w:r>
          </w:p>
        </w:tc>
        <w:tc>
          <w:tcPr>
            <w:tcW w:w="1099" w:type="dxa"/>
          </w:tcPr>
          <w:p>
            <w:pPr>
              <w:pStyle w:val="0"/>
            </w:pPr>
            <w:r>
              <w:rPr>
                <w:sz w:val="24"/>
              </w:rPr>
              <w:t xml:space="preserve">&lt;...&gt;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Приложение: на __ л.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Достоверность   представленной   в  составе  конкурсной  заявки  информации</w:t>
      </w:r>
    </w:p>
    <w:p>
      <w:pPr>
        <w:pStyle w:val="1"/>
        <w:jc w:val="both"/>
      </w:pPr>
      <w:r>
        <w:rPr>
          <w:sz w:val="20"/>
        </w:rPr>
        <w:t xml:space="preserve">подтверждаю.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Глава муниципального образования 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                         (подпись и расшифровка подписи)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СОГЛАСОВАНО 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   (наименование должности визирующего должностного лица,</w:t>
      </w:r>
    </w:p>
    <w:p>
      <w:pPr>
        <w:pStyle w:val="1"/>
        <w:jc w:val="both"/>
      </w:pPr>
      <w:r>
        <w:rPr>
          <w:sz w:val="20"/>
        </w:rPr>
        <w:t xml:space="preserve">                    ответственного в субъекте Российской Федерации</w:t>
      </w:r>
    </w:p>
    <w:p>
      <w:pPr>
        <w:pStyle w:val="1"/>
        <w:jc w:val="both"/>
      </w:pPr>
      <w:r>
        <w:rPr>
          <w:sz w:val="20"/>
        </w:rPr>
        <w:t xml:space="preserve">                  за предоставление конкурсной заявки на федеральный</w:t>
      </w:r>
    </w:p>
    <w:p>
      <w:pPr>
        <w:pStyle w:val="1"/>
        <w:jc w:val="both"/>
      </w:pPr>
      <w:r>
        <w:rPr>
          <w:sz w:val="20"/>
        </w:rPr>
        <w:t xml:space="preserve">                                    этап конкурса)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(подпись и расшифровка подписи)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приказу Минэкономразвития России</w:t>
      </w:r>
    </w:p>
    <w:p>
      <w:pPr>
        <w:pStyle w:val="0"/>
        <w:jc w:val="right"/>
      </w:pPr>
      <w:r>
        <w:rPr>
          <w:sz w:val="24"/>
        </w:rPr>
        <w:t xml:space="preserve">от 26.06.2025 N 425</w:t>
      </w:r>
    </w:p>
    <w:p>
      <w:pPr>
        <w:pStyle w:val="0"/>
        <w:jc w:val="both"/>
      </w:pPr>
      <w:r>
        <w:rPr>
          <w:sz w:val="24"/>
        </w:rPr>
      </w:r>
    </w:p>
    <w:bookmarkStart w:id="304" w:name="P304"/>
    <w:bookmarkEnd w:id="304"/>
    <w:p>
      <w:pPr>
        <w:pStyle w:val="2"/>
        <w:jc w:val="center"/>
      </w:pPr>
      <w:r>
        <w:rPr>
          <w:sz w:val="24"/>
        </w:rPr>
        <w:t xml:space="preserve">МЕТОДИКА</w:t>
      </w:r>
    </w:p>
    <w:p>
      <w:pPr>
        <w:pStyle w:val="2"/>
        <w:jc w:val="center"/>
      </w:pPr>
      <w:r>
        <w:rPr>
          <w:sz w:val="24"/>
        </w:rPr>
        <w:t xml:space="preserve">ОЦЕНКИ КОНКУРСНЫХ ЗАЯВОК МУНИЦИПАЛЬНЫХ ОБРАЗОВАНИЙ,</w:t>
      </w:r>
    </w:p>
    <w:p>
      <w:pPr>
        <w:pStyle w:val="2"/>
        <w:jc w:val="center"/>
      </w:pPr>
      <w:r>
        <w:rPr>
          <w:sz w:val="24"/>
        </w:rPr>
        <w:t xml:space="preserve">ПРЕДСТАВЛЯЕМЫХ ДЛЯ УЧАСТИЯ ВО ВСЕРОССИЙСКОМ КОНКУРСЕ "ЛУЧШАЯ</w:t>
      </w:r>
    </w:p>
    <w:p>
      <w:pPr>
        <w:pStyle w:val="2"/>
        <w:jc w:val="center"/>
      </w:pPr>
      <w:r>
        <w:rPr>
          <w:sz w:val="24"/>
        </w:rPr>
        <w:t xml:space="preserve">МУНИЦИПАЛЬНАЯ ПРАКТИКА" ПО НОМИНАЦИИ "ПОВЫШЕНИЕ УЗНАВАЕМОСТИ</w:t>
      </w:r>
    </w:p>
    <w:p>
      <w:pPr>
        <w:pStyle w:val="2"/>
        <w:jc w:val="center"/>
      </w:pPr>
      <w:r>
        <w:rPr>
          <w:sz w:val="24"/>
        </w:rPr>
        <w:t xml:space="preserve">МУНИЦИПАЛЬНОГО ОБРАЗОВАНИЯ ("БРЕНД ТЕРРИТОРИИ")"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Оценка конкурсных заявок муниципальных образований, представляемых для участия во Всероссийском конкурсе "Лучшая муниципальная практика" по номинации "Повышение узнаваемости муниципального образования ("бренд территории")" (далее - конкурсные заявки) осуществляется федеральной конкурсной комиссией по организации и проведению Всероссийского конкурса "Лучшая муниципальная практика" по каждой номинации участников конкурса, указанных в </w:t>
      </w:r>
      <w:hyperlink r:id="rId66" w:tooltip="Постановление Правительства РФ от 18.08.2016 N 815 (ред. от 14.05.2025) &quot;О Всероссийском конкурсе &quot;Лучшая муниципальная практика&quot; (вместе с &quot;Положением о Всероссийском конкурсе &quot;Лучшая муниципальная практика&quot;) {КонсультантПлюс}" w:history="0">
        <w:r>
          <w:rPr>
            <w:color w:val="0000ff"/>
            <w:sz w:val="24"/>
          </w:rPr>
          <w:t xml:space="preserve">пункте 4</w:t>
        </w:r>
      </w:hyperlink>
      <w:r>
        <w:rPr>
          <w:sz w:val="24"/>
        </w:rPr>
        <w:t xml:space="preserve"> Положения о Всероссийском конкурсе "Лучшая муниципальная практика", утвержденного постановлением Правительства Российской Федерации от 18 августа 2016 г. N 815 (далее - конкурс), в целях последовательного выявления и отбора примеров лучшей муниципальной практики (далее - практики) на региональном и федеральном этапах конкурса путем присвоения количества баллов согласно настоящей Методике.</w:t>
      </w:r>
    </w:p>
    <w:bookmarkStart w:id="311" w:name="P311"/>
    <w:bookmarkEnd w:id="311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Оценка конкурсных заявок на региональном этапе конкурса (Крег) рассчитывается исполнительным органом субъекта Российской Федерации, организационным комитетом или иным коллегиальным органом, образованным для проведения регионального этапа конкурса в соответствующем субъекте Российской Федерации,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4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897630" cy="765810"/>
                <wp:effectExtent l="0" t="0" r="0" b="0"/>
                <wp:docPr id="13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67">
                          <a:extLst>
                            <a:ext uri="{96DAC541-7B7A-43D3-8B79-37D633B846F1}">
                              <asvg:svgBlip xmlns:asvg="http://schemas.microsoft.com/office/drawing/2016/SVG/main" r:embed="rId68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3897630" cy="765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306.90pt;height:60.30pt;mso-wrap-distance-left:0.00pt;mso-wrap-distance-top:0.00pt;mso-wrap-distance-right:0.00pt;mso-wrap-distance-bottom:0.00pt;" stroked="f">
                <v:path textboxrect="0,0,0,0"/>
                <v:imagedata r:id="rId67" o:title=""/>
              </v:shape>
            </w:pict>
          </mc:Fallback>
        </mc:AlternateConten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Крег - оценка конкурсной заявки на региональном этапе;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Ип</w:t>
      </w:r>
      <w:r>
        <w:rPr>
          <w:sz w:val="24"/>
          <w:vertAlign w:val="subscript"/>
        </w:rPr>
        <w:t xml:space="preserve">11i</w:t>
      </w:r>
      <w:r>
        <w:rPr>
          <w:sz w:val="24"/>
        </w:rPr>
        <w:t xml:space="preserve">, Ип</w:t>
      </w:r>
      <w:r>
        <w:rPr>
          <w:sz w:val="24"/>
          <w:vertAlign w:val="subscript"/>
        </w:rPr>
        <w:t xml:space="preserve">12i</w:t>
      </w:r>
      <w:r>
        <w:rPr>
          <w:sz w:val="24"/>
        </w:rPr>
        <w:t xml:space="preserve">, Ип</w:t>
      </w:r>
      <w:r>
        <w:rPr>
          <w:sz w:val="24"/>
          <w:vertAlign w:val="subscript"/>
        </w:rPr>
        <w:t xml:space="preserve">13i</w:t>
      </w:r>
      <w:r>
        <w:rPr>
          <w:sz w:val="24"/>
        </w:rPr>
        <w:t xml:space="preserve">, Ип</w:t>
      </w:r>
      <w:r>
        <w:rPr>
          <w:sz w:val="24"/>
          <w:vertAlign w:val="subscript"/>
        </w:rPr>
        <w:t xml:space="preserve">21i</w:t>
      </w:r>
      <w:r>
        <w:rPr>
          <w:sz w:val="24"/>
        </w:rPr>
        <w:t xml:space="preserve">, Ип</w:t>
      </w:r>
      <w:r>
        <w:rPr>
          <w:sz w:val="24"/>
          <w:vertAlign w:val="subscript"/>
        </w:rPr>
        <w:t xml:space="preserve">31i</w:t>
      </w:r>
      <w:r>
        <w:rPr>
          <w:sz w:val="24"/>
        </w:rPr>
        <w:t xml:space="preserve">, Ип</w:t>
      </w:r>
      <w:r>
        <w:rPr>
          <w:sz w:val="24"/>
          <w:vertAlign w:val="subscript"/>
        </w:rPr>
        <w:t xml:space="preserve">32i</w:t>
      </w:r>
      <w:r>
        <w:rPr>
          <w:sz w:val="24"/>
        </w:rPr>
        <w:t xml:space="preserve">, Ип</w:t>
      </w:r>
      <w:r>
        <w:rPr>
          <w:sz w:val="24"/>
          <w:vertAlign w:val="subscript"/>
        </w:rPr>
        <w:t xml:space="preserve">33i</w:t>
      </w:r>
      <w:r>
        <w:rPr>
          <w:sz w:val="24"/>
        </w:rPr>
        <w:t xml:space="preserve">, Ип</w:t>
      </w:r>
      <w:r>
        <w:rPr>
          <w:sz w:val="24"/>
          <w:vertAlign w:val="subscript"/>
        </w:rPr>
        <w:t xml:space="preserve">41i</w:t>
      </w:r>
      <w:r>
        <w:rPr>
          <w:sz w:val="24"/>
        </w:rPr>
        <w:t xml:space="preserve">, Ип</w:t>
      </w:r>
      <w:r>
        <w:rPr>
          <w:sz w:val="24"/>
          <w:vertAlign w:val="subscript"/>
        </w:rPr>
        <w:t xml:space="preserve">51i</w:t>
      </w:r>
      <w:r>
        <w:rPr>
          <w:sz w:val="24"/>
        </w:rPr>
        <w:t xml:space="preserve">, Ип</w:t>
      </w:r>
      <w:r>
        <w:rPr>
          <w:sz w:val="24"/>
          <w:vertAlign w:val="subscript"/>
        </w:rPr>
        <w:t xml:space="preserve">52i</w:t>
      </w:r>
      <w:r>
        <w:rPr>
          <w:sz w:val="24"/>
        </w:rPr>
        <w:t xml:space="preserve">, Ип</w:t>
      </w:r>
      <w:r>
        <w:rPr>
          <w:sz w:val="24"/>
          <w:vertAlign w:val="subscript"/>
        </w:rPr>
        <w:t xml:space="preserve">53i</w:t>
      </w:r>
      <w:r>
        <w:rPr>
          <w:sz w:val="24"/>
        </w:rPr>
        <w:t xml:space="preserve">, Ип</w:t>
      </w:r>
      <w:r>
        <w:rPr>
          <w:sz w:val="24"/>
          <w:vertAlign w:val="subscript"/>
        </w:rPr>
        <w:t xml:space="preserve">61i</w:t>
      </w:r>
      <w:r>
        <w:rPr>
          <w:sz w:val="24"/>
        </w:rPr>
        <w:t xml:space="preserve"> - индексы показателей, соответствующие </w:t>
      </w:r>
      <w:hyperlink w:tooltip="1.1" w:anchor="P115" w:history="0">
        <w:r>
          <w:rPr>
            <w:color w:val="0000ff"/>
            <w:sz w:val="24"/>
          </w:rPr>
          <w:t xml:space="preserve">пунктам 1.1</w:t>
        </w:r>
      </w:hyperlink>
      <w:r>
        <w:rPr>
          <w:sz w:val="24"/>
        </w:rPr>
        <w:t xml:space="preserve">, </w:t>
      </w:r>
      <w:hyperlink w:tooltip="1.2" w:anchor="P127" w:history="0">
        <w:r>
          <w:rPr>
            <w:color w:val="0000ff"/>
            <w:sz w:val="24"/>
          </w:rPr>
          <w:t xml:space="preserve">1.2</w:t>
        </w:r>
      </w:hyperlink>
      <w:r>
        <w:rPr>
          <w:sz w:val="24"/>
        </w:rPr>
        <w:t xml:space="preserve">, </w:t>
      </w:r>
      <w:hyperlink w:tooltip="1.3" w:anchor="P139" w:history="0">
        <w:r>
          <w:rPr>
            <w:color w:val="0000ff"/>
            <w:sz w:val="24"/>
          </w:rPr>
          <w:t xml:space="preserve">1.3</w:t>
        </w:r>
      </w:hyperlink>
      <w:r>
        <w:rPr>
          <w:sz w:val="24"/>
        </w:rPr>
        <w:t xml:space="preserve">, </w:t>
      </w:r>
      <w:hyperlink w:tooltip="2.1" w:anchor="P152" w:history="0">
        <w:r>
          <w:rPr>
            <w:color w:val="0000ff"/>
            <w:sz w:val="24"/>
          </w:rPr>
          <w:t xml:space="preserve">2.1</w:t>
        </w:r>
      </w:hyperlink>
      <w:r>
        <w:rPr>
          <w:sz w:val="24"/>
        </w:rPr>
        <w:t xml:space="preserve">, </w:t>
      </w:r>
      <w:hyperlink w:tooltip="3.1" w:anchor="P166" w:history="0">
        <w:r>
          <w:rPr>
            <w:color w:val="0000ff"/>
            <w:sz w:val="24"/>
          </w:rPr>
          <w:t xml:space="preserve">3.1</w:t>
        </w:r>
      </w:hyperlink>
      <w:r>
        <w:rPr>
          <w:sz w:val="24"/>
        </w:rPr>
        <w:t xml:space="preserve">, </w:t>
      </w:r>
      <w:hyperlink w:tooltip="3.2" w:anchor="P178" w:history="0">
        <w:r>
          <w:rPr>
            <w:color w:val="0000ff"/>
            <w:sz w:val="24"/>
          </w:rPr>
          <w:t xml:space="preserve">3.2</w:t>
        </w:r>
      </w:hyperlink>
      <w:r>
        <w:rPr>
          <w:sz w:val="24"/>
        </w:rPr>
        <w:t xml:space="preserve">, </w:t>
      </w:r>
      <w:hyperlink w:tooltip="3.3" w:anchor="P198" w:history="0">
        <w:r>
          <w:rPr>
            <w:color w:val="0000ff"/>
            <w:sz w:val="24"/>
          </w:rPr>
          <w:t xml:space="preserve">3.3</w:t>
        </w:r>
      </w:hyperlink>
      <w:r>
        <w:rPr>
          <w:sz w:val="24"/>
        </w:rPr>
        <w:t xml:space="preserve">, </w:t>
      </w:r>
      <w:hyperlink w:tooltip="4.1" w:anchor="P212" w:history="0">
        <w:r>
          <w:rPr>
            <w:color w:val="0000ff"/>
            <w:sz w:val="24"/>
          </w:rPr>
          <w:t xml:space="preserve">4.1</w:t>
        </w:r>
      </w:hyperlink>
      <w:r>
        <w:rPr>
          <w:sz w:val="24"/>
        </w:rPr>
        <w:t xml:space="preserve">, </w:t>
      </w:r>
      <w:hyperlink w:tooltip="5.1" w:anchor="P226" w:history="0">
        <w:r>
          <w:rPr>
            <w:color w:val="0000ff"/>
            <w:sz w:val="24"/>
          </w:rPr>
          <w:t xml:space="preserve">5.1</w:t>
        </w:r>
      </w:hyperlink>
      <w:r>
        <w:rPr>
          <w:sz w:val="24"/>
        </w:rPr>
        <w:t xml:space="preserve">, </w:t>
      </w:r>
      <w:hyperlink w:tooltip="5.2" w:anchor="P238" w:history="0">
        <w:r>
          <w:rPr>
            <w:color w:val="0000ff"/>
            <w:sz w:val="24"/>
          </w:rPr>
          <w:t xml:space="preserve">5.2</w:t>
        </w:r>
      </w:hyperlink>
      <w:r>
        <w:rPr>
          <w:sz w:val="24"/>
        </w:rPr>
        <w:t xml:space="preserve">, </w:t>
      </w:r>
      <w:hyperlink w:tooltip="5.3" w:anchor="P250" w:history="0">
        <w:r>
          <w:rPr>
            <w:color w:val="0000ff"/>
            <w:sz w:val="24"/>
          </w:rPr>
          <w:t xml:space="preserve">5.3</w:t>
        </w:r>
      </w:hyperlink>
      <w:r>
        <w:rPr>
          <w:sz w:val="24"/>
        </w:rPr>
        <w:t xml:space="preserve"> и </w:t>
      </w:r>
      <w:hyperlink w:tooltip="6.1" w:anchor="P263" w:history="0">
        <w:r>
          <w:rPr>
            <w:color w:val="0000ff"/>
            <w:sz w:val="24"/>
          </w:rPr>
          <w:t xml:space="preserve">6.1</w:t>
        </w:r>
      </w:hyperlink>
      <w:r>
        <w:rPr>
          <w:sz w:val="24"/>
        </w:rPr>
        <w:t xml:space="preserve"> показателей, характеризующих деятельность муниципального образования, приведенных в приложении N 1 к настоящему Приказу (далее - показатели, характеризующие деятельность муниципального образования).</w:t>
      </w:r>
    </w:p>
    <w:bookmarkStart w:id="318" w:name="P318"/>
    <w:bookmarkEnd w:id="318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 Индексы к показателям (Ип) рассчитываются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Ип = (П - П</w:t>
      </w:r>
      <w:r>
        <w:rPr>
          <w:sz w:val="24"/>
          <w:vertAlign w:val="subscript"/>
        </w:rPr>
        <w:t xml:space="preserve">мин</w:t>
      </w:r>
      <w:r>
        <w:rPr>
          <w:sz w:val="24"/>
        </w:rPr>
        <w:t xml:space="preserve">) / (П</w:t>
      </w:r>
      <w:r>
        <w:rPr>
          <w:sz w:val="24"/>
          <w:vertAlign w:val="subscript"/>
        </w:rPr>
        <w:t xml:space="preserve">макс</w:t>
      </w:r>
      <w:r>
        <w:rPr>
          <w:sz w:val="24"/>
        </w:rPr>
        <w:t xml:space="preserve"> - П</w:t>
      </w:r>
      <w:r>
        <w:rPr>
          <w:sz w:val="24"/>
          <w:vertAlign w:val="subscript"/>
        </w:rPr>
        <w:t xml:space="preserve">мин</w:t>
      </w:r>
      <w:r>
        <w:rPr>
          <w:sz w:val="24"/>
        </w:rPr>
        <w:t xml:space="preserve">),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 - значение соответствующего показателя муниципального образования;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</w:t>
      </w:r>
      <w:r>
        <w:rPr>
          <w:sz w:val="24"/>
          <w:vertAlign w:val="subscript"/>
        </w:rPr>
        <w:t xml:space="preserve">мин</w:t>
      </w:r>
      <w:r>
        <w:rPr>
          <w:sz w:val="24"/>
        </w:rPr>
        <w:t xml:space="preserve"> - минимальное значение соответствующего показателя среди муниципальных образований;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</w:t>
      </w:r>
      <w:r>
        <w:rPr>
          <w:sz w:val="24"/>
          <w:vertAlign w:val="subscript"/>
        </w:rPr>
        <w:t xml:space="preserve">макс</w:t>
      </w:r>
      <w:r>
        <w:rPr>
          <w:sz w:val="24"/>
        </w:rPr>
        <w:t xml:space="preserve"> - максимальное значение соответствующего показателя среди муниципальных образований.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4. Оценка конкурсных заявок, поступивших в федеральную конкурсную комиссию по организации и проведению Всероссийского конкурса "Лучшая муниципальная практика" (далее - комиссия), по номинации "Повышение узнаваемости муниципального образования ("бренд территории")" осуществляется членами ее подкомиссии (далее - подкомиссия).</w:t>
      </w:r>
    </w:p>
    <w:bookmarkStart w:id="327" w:name="P327"/>
    <w:bookmarkEnd w:id="327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5. Подкомиссия осуществляет оценку конкурсных заявок по формулам, предусмотренным </w:t>
      </w:r>
      <w:hyperlink w:tooltip="2. Оценка конкурсных заявок на региональном этапе конкурса (Крег) рассчитывается исполнительным органом субъекта Российской Федерации, организационным комитетом или иным коллегиальным органом, образованным для проведения регионального этапа конкурса в соответствующем субъекте Российской Федерации, по формуле:" w:anchor="P311" w:history="0">
        <w:r>
          <w:rPr>
            <w:color w:val="0000ff"/>
            <w:sz w:val="24"/>
          </w:rPr>
          <w:t xml:space="preserve">пунктами 2</w:t>
        </w:r>
      </w:hyperlink>
      <w:r>
        <w:rPr>
          <w:sz w:val="24"/>
        </w:rPr>
        <w:t xml:space="preserve"> и </w:t>
      </w:r>
      <w:hyperlink w:tooltip="3. Индексы к показателям (Ип) рассчитываются по формуле:" w:anchor="P318" w:history="0">
        <w:r>
          <w:rPr>
            <w:color w:val="0000ff"/>
            <w:sz w:val="24"/>
          </w:rPr>
          <w:t xml:space="preserve">3</w:t>
        </w:r>
      </w:hyperlink>
      <w:r>
        <w:rPr>
          <w:sz w:val="24"/>
        </w:rPr>
        <w:t xml:space="preserve"> настоящей Методики, по убыванию количества набранных баллов в зависимости от категории участников конкурса.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6. Оценка конкурсных заявок на федеральном этапе конкурса осуществляется подкомиссией в отношении 25 муниципальных образований в каждой категории участников конкурса, набравших в соответствии с </w:t>
      </w:r>
      <w:hyperlink w:tooltip="5. Подкомиссия осуществляет оценку конкурсных заявок по формулам, предусмотренным пунктами 2 и 3 настоящей Методики, по убыванию количества набранных баллов в зависимости от категории участников конкурса." w:anchor="P327" w:history="0">
        <w:r>
          <w:rPr>
            <w:color w:val="0000ff"/>
            <w:sz w:val="24"/>
          </w:rPr>
          <w:t xml:space="preserve">пунктом 5</w:t>
        </w:r>
      </w:hyperlink>
      <w:r>
        <w:rPr>
          <w:sz w:val="24"/>
        </w:rPr>
        <w:t xml:space="preserve"> настоящей Методики наибольшее количество баллов.</w:t>
      </w:r>
    </w:p>
    <w:bookmarkStart w:id="329" w:name="P329"/>
    <w:bookmarkEnd w:id="329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7. Оценка конкурсных заявок на федеральном этапе конкурса (Кфед) рассчитывается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Кфед = Ксчет + 0,1 x Оэ,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Кфед - оценка конкурсной заявки на федеральном этапе;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Ксчет - количественная оценка конкурсной заявки, рассчитываемая аналогично оценке конкурсной заявки на региональном этапе;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Оэ - значение качественной экспертной оценки конкурсной заявки, проводимой согласно </w:t>
      </w:r>
      <w:hyperlink w:tooltip="8. Экспертная оценка (Оэ) осуществляется с учетом экспертных мнений простого большинства членов подкомиссии в соответствии с пунктом 10 настоящей Методики по следующей формуле:" w:anchor="P337" w:history="0">
        <w:r>
          <w:rPr>
            <w:color w:val="0000ff"/>
            <w:sz w:val="24"/>
          </w:rPr>
          <w:t xml:space="preserve">пунктам 8</w:t>
        </w:r>
      </w:hyperlink>
      <w:r>
        <w:rPr>
          <w:sz w:val="24"/>
        </w:rPr>
        <w:t xml:space="preserve"> и </w:t>
      </w:r>
      <w:hyperlink w:tooltip="10. При выставлении экспертной оценки членами подкомиссии учитываются следующие факторы:" w:anchor="P346" w:history="0">
        <w:r>
          <w:rPr>
            <w:color w:val="0000ff"/>
            <w:sz w:val="24"/>
          </w:rPr>
          <w:t xml:space="preserve">10</w:t>
        </w:r>
      </w:hyperlink>
      <w:r>
        <w:rPr>
          <w:sz w:val="24"/>
        </w:rPr>
        <w:t xml:space="preserve"> настоящей Методики (далее - экспертная оценка).</w:t>
      </w:r>
    </w:p>
    <w:bookmarkStart w:id="337" w:name="P337"/>
    <w:bookmarkEnd w:id="337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8. Экспертная оценка (Оэ) осуществляется с учетом экспертных мнений простого большинства членов подкомиссии в соответствии с </w:t>
      </w:r>
      <w:hyperlink w:tooltip="10. При выставлении экспертной оценки членами подкомиссии учитываются следующие факторы:" w:anchor="P346" w:history="0">
        <w:r>
          <w:rPr>
            <w:color w:val="0000ff"/>
            <w:sz w:val="24"/>
          </w:rPr>
          <w:t xml:space="preserve">пунктом 10</w:t>
        </w:r>
      </w:hyperlink>
      <w:r>
        <w:rPr>
          <w:sz w:val="24"/>
        </w:rPr>
        <w:t xml:space="preserve"> настоящей Методики по следующей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3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040130" cy="560070"/>
                <wp:effectExtent l="0" t="0" r="0" b="0"/>
                <wp:docPr id="14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69">
                          <a:extLst>
                            <a:ext uri="{96DAC541-7B7A-43D3-8B79-37D633B846F1}">
                              <asvg:svgBlip xmlns:asvg="http://schemas.microsoft.com/office/drawing/2016/SVG/main" r:embed="rId7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1040130" cy="560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81.90pt;height:44.10pt;mso-wrap-distance-left:0.00pt;mso-wrap-distance-top:0.00pt;mso-wrap-distance-right:0.00pt;mso-wrap-distance-bottom:0.00pt;" stroked="f">
                <v:path textboxrect="0,0,0,0"/>
                <v:imagedata r:id="rId69" o:title=""/>
              </v:shape>
            </w:pict>
          </mc:Fallback>
        </mc:AlternateConten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N - общее число опросных листов, заполненных членами подкомиссии;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P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- значение экспертной оценки конкурсной заявки i-м членом подкомиссии (от 1 до 10 баллов), при этом лучшей, по мнению i-го члена подкомиссии, конкурсной заявке присваивается наибольшее количество баллов.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9. Выставление экспертной оценки осуществляется членами подкомиссии после ознакомления с презентацией конкурсной заявки, а также приобщенным к ней кратким описанием практики.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Конкурсные заявки, в презентации которых не содержатся примеры управленческих практик по внедрению бренда муниципального образования, не подлежат экспертной оценке.</w:t>
      </w:r>
    </w:p>
    <w:bookmarkStart w:id="346" w:name="P346"/>
    <w:bookmarkEnd w:id="346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10. При выставлении экспертной оценки членами подкомиссии учитываются следующие факторы: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а) исходные предпосылки реализации практики и принципиальные подходы, избранные при разработке и внедрении практики в муниципальном образовании;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б) реализация практики способствовала росту предпринимательской активности, узнаваемости территории, туристического потока, благосостояния населения, а также улучшению миграционной ситуации в муниципальном образовании;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в) эффективность взаимодействия органов местного самоуправления с жителями и предпринимательским сообществом муниципального образования;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г) уникальные преимущества и сильные стороны практики, выделяющие ее из ряда подобных;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д) алгоритмы (последовательность) действия по внедрению практики;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е) ресурсы (материальные и нематериальные средства), которые необходимы для реализации практики;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ж) возможность повторения (тиражирования) практики в других муниципальных образованиях;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з) риски, которые необходимо принять во внимание при использовании практики.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11. Определение победителей конкурса по номинации "Повышение узнаваемости муниципального образования ("бренд территории")", среди которых распределяются первое - пятое места победителей конкурса, набравших наибольшее количество баллов в соответствии с </w:t>
      </w:r>
      <w:hyperlink w:tooltip="7. Оценка конкурсных заявок на федеральном этапе конкурса (Кфед) рассчитывается по формуле:" w:anchor="P329" w:history="0">
        <w:r>
          <w:rPr>
            <w:color w:val="0000ff"/>
            <w:sz w:val="24"/>
          </w:rPr>
          <w:t xml:space="preserve">пунктом 7</w:t>
        </w:r>
      </w:hyperlink>
      <w:r>
        <w:rPr>
          <w:sz w:val="24"/>
        </w:rPr>
        <w:t xml:space="preserve"> Методики, осуществляется комиссией.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pgSz w:w="11906" w:h="16838"/>
      <w:pgMar w:top="1440" w:right="566" w:bottom="1440" w:left="1133" w:header="0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6040504020204"/>
  </w:font>
  <w:font w:name="Arial">
    <w:panose1 w:val="020B0604020202020204"/>
  </w:font>
  <w:font w:name="Courier New">
    <w:panose1 w:val="020704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spacing w:before="0" w:after="0" w:line="24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yperlink" Target="http://172.30.45.4/cons/cgi/online.cgi?req=doc&amp;base=LAW&amp;n=505294&amp;date=19.05.2026&amp;dst=65&amp;field=134" TargetMode="External"/><Relationship Id="rId7" Type="http://schemas.openxmlformats.org/officeDocument/2006/relationships/hyperlink" Target="http://172.30.45.4/cons/cgi/online.cgi?req=doc&amp;base=LAW&amp;n=533493&amp;date=19.05.2026&amp;dst=766&amp;field=134" TargetMode="External"/><Relationship Id="rId8" Type="http://schemas.openxmlformats.org/officeDocument/2006/relationships/hyperlink" Target="http://172.30.45.4/cons/cgi/online.cgi?req=doc&amp;base=LAW&amp;n=392544&amp;date=19.05.2026" TargetMode="External"/><Relationship Id="rId9" Type="http://schemas.openxmlformats.org/officeDocument/2006/relationships/hyperlink" Target="http://172.30.45.4/cons/cgi/online.cgi?req=doc&amp;base=LAW&amp;n=505294&amp;date=19.05.2026" TargetMode="External"/><Relationship Id="rId10" Type="http://schemas.openxmlformats.org/officeDocument/2006/relationships/image" Target="media/image1.wmf"/><Relationship Id="rId11" Type="http://schemas.openxmlformats.org/officeDocument/2006/relationships/image" Target="media/media1.svg"/><Relationship Id="rId12" Type="http://schemas.openxmlformats.org/officeDocument/2006/relationships/image" Target="media/image2.wmf"/><Relationship Id="rId13" Type="http://schemas.openxmlformats.org/officeDocument/2006/relationships/image" Target="media/media2.svg"/><Relationship Id="rId14" Type="http://schemas.openxmlformats.org/officeDocument/2006/relationships/hyperlink" Target="http://172.30.45.4/cons/cgi/online.cgi?req=doc&amp;base=LAW&amp;n=529197&amp;date=19.05.2026&amp;dst=103016&amp;field=134" TargetMode="External"/><Relationship Id="rId15" Type="http://schemas.openxmlformats.org/officeDocument/2006/relationships/hyperlink" Target="http://172.30.45.4/cons/cgi/online.cgi?req=doc&amp;base=LAW&amp;n=529197&amp;date=19.05.2026&amp;dst=104304&amp;field=134" TargetMode="External"/><Relationship Id="rId16" Type="http://schemas.openxmlformats.org/officeDocument/2006/relationships/hyperlink" Target="http://172.30.45.4/cons/cgi/online.cgi?req=doc&amp;base=LAW&amp;n=529197&amp;date=19.05.2026&amp;dst=104365&amp;field=134" TargetMode="External"/><Relationship Id="rId17" Type="http://schemas.openxmlformats.org/officeDocument/2006/relationships/hyperlink" Target="http://172.30.45.4/cons/cgi/online.cgi?req=doc&amp;base=LAW&amp;n=529197&amp;date=19.05.2026&amp;dst=104555&amp;field=134" TargetMode="External"/><Relationship Id="rId18" Type="http://schemas.openxmlformats.org/officeDocument/2006/relationships/hyperlink" Target="http://172.30.45.4/cons/cgi/online.cgi?req=doc&amp;base=LAW&amp;n=529197&amp;date=19.05.2026&amp;dst=104721&amp;field=134" TargetMode="External"/><Relationship Id="rId19" Type="http://schemas.openxmlformats.org/officeDocument/2006/relationships/hyperlink" Target="http://172.30.45.4/cons/cgi/online.cgi?req=doc&amp;base=LAW&amp;n=529197&amp;date=19.05.2026&amp;dst=105027&amp;field=134" TargetMode="External"/><Relationship Id="rId20" Type="http://schemas.openxmlformats.org/officeDocument/2006/relationships/hyperlink" Target="http://172.30.45.4/cons/cgi/online.cgi?req=doc&amp;base=LAW&amp;n=529197&amp;date=19.05.2026&amp;dst=105441&amp;field=134" TargetMode="External"/><Relationship Id="rId21" Type="http://schemas.openxmlformats.org/officeDocument/2006/relationships/hyperlink" Target="http://172.30.45.4/cons/cgi/online.cgi?req=doc&amp;base=LAW&amp;n=529197&amp;date=19.05.2026&amp;dst=105532&amp;field=134" TargetMode="External"/><Relationship Id="rId22" Type="http://schemas.openxmlformats.org/officeDocument/2006/relationships/hyperlink" Target="http://172.30.45.4/cons/cgi/online.cgi?req=doc&amp;base=LAW&amp;n=529197&amp;date=19.05.2026&amp;dst=103016&amp;field=134" TargetMode="External"/><Relationship Id="rId23" Type="http://schemas.openxmlformats.org/officeDocument/2006/relationships/hyperlink" Target="http://172.30.45.4/cons/cgi/online.cgi?req=doc&amp;base=LAW&amp;n=529197&amp;date=19.05.2026&amp;dst=104304&amp;field=134" TargetMode="External"/><Relationship Id="rId24" Type="http://schemas.openxmlformats.org/officeDocument/2006/relationships/hyperlink" Target="http://172.30.45.4/cons/cgi/online.cgi?req=doc&amp;base=LAW&amp;n=529197&amp;date=19.05.2026&amp;dst=104365&amp;field=134" TargetMode="External"/><Relationship Id="rId25" Type="http://schemas.openxmlformats.org/officeDocument/2006/relationships/hyperlink" Target="http://172.30.45.4/cons/cgi/online.cgi?req=doc&amp;base=LAW&amp;n=529197&amp;date=19.05.2026&amp;dst=104555&amp;field=134" TargetMode="External"/><Relationship Id="rId26" Type="http://schemas.openxmlformats.org/officeDocument/2006/relationships/hyperlink" Target="http://172.30.45.4/cons/cgi/online.cgi?req=doc&amp;base=LAW&amp;n=529197&amp;date=19.05.2026&amp;dst=104721&amp;field=134" TargetMode="External"/><Relationship Id="rId27" Type="http://schemas.openxmlformats.org/officeDocument/2006/relationships/hyperlink" Target="http://172.30.45.4/cons/cgi/online.cgi?req=doc&amp;base=LAW&amp;n=529197&amp;date=19.05.2026&amp;dst=105027&amp;field=134" TargetMode="External"/><Relationship Id="rId28" Type="http://schemas.openxmlformats.org/officeDocument/2006/relationships/hyperlink" Target="http://172.30.45.4/cons/cgi/online.cgi?req=doc&amp;base=LAW&amp;n=529197&amp;date=19.05.2026&amp;dst=105441&amp;field=134" TargetMode="External"/><Relationship Id="rId29" Type="http://schemas.openxmlformats.org/officeDocument/2006/relationships/hyperlink" Target="http://172.30.45.4/cons/cgi/online.cgi?req=doc&amp;base=LAW&amp;n=529197&amp;date=19.05.2026&amp;dst=105532&amp;field=134" TargetMode="External"/><Relationship Id="rId30" Type="http://schemas.openxmlformats.org/officeDocument/2006/relationships/hyperlink" Target="http://172.30.45.4/cons/cgi/online.cgi?req=doc&amp;base=LAW&amp;n=529197&amp;date=19.05.2026&amp;dst=103016&amp;field=134" TargetMode="External"/><Relationship Id="rId31" Type="http://schemas.openxmlformats.org/officeDocument/2006/relationships/hyperlink" Target="http://172.30.45.4/cons/cgi/online.cgi?req=doc&amp;base=LAW&amp;n=529197&amp;date=19.05.2026&amp;dst=104304&amp;field=134" TargetMode="External"/><Relationship Id="rId32" Type="http://schemas.openxmlformats.org/officeDocument/2006/relationships/hyperlink" Target="http://172.30.45.4/cons/cgi/online.cgi?req=doc&amp;base=LAW&amp;n=529197&amp;date=19.05.2026&amp;dst=104365&amp;field=134" TargetMode="External"/><Relationship Id="rId33" Type="http://schemas.openxmlformats.org/officeDocument/2006/relationships/hyperlink" Target="http://172.30.45.4/cons/cgi/online.cgi?req=doc&amp;base=LAW&amp;n=529197&amp;date=19.05.2026&amp;dst=104555&amp;field=134" TargetMode="External"/><Relationship Id="rId34" Type="http://schemas.openxmlformats.org/officeDocument/2006/relationships/hyperlink" Target="http://172.30.45.4/cons/cgi/online.cgi?req=doc&amp;base=LAW&amp;n=529197&amp;date=19.05.2026&amp;dst=104721&amp;field=134" TargetMode="External"/><Relationship Id="rId35" Type="http://schemas.openxmlformats.org/officeDocument/2006/relationships/hyperlink" Target="http://172.30.45.4/cons/cgi/online.cgi?req=doc&amp;base=LAW&amp;n=529197&amp;date=19.05.2026&amp;dst=105027&amp;field=134" TargetMode="External"/><Relationship Id="rId36" Type="http://schemas.openxmlformats.org/officeDocument/2006/relationships/hyperlink" Target="http://172.30.45.4/cons/cgi/online.cgi?req=doc&amp;base=LAW&amp;n=529197&amp;date=19.05.2026&amp;dst=105441&amp;field=134" TargetMode="External"/><Relationship Id="rId37" Type="http://schemas.openxmlformats.org/officeDocument/2006/relationships/hyperlink" Target="http://172.30.45.4/cons/cgi/online.cgi?req=doc&amp;base=LAW&amp;n=529197&amp;date=19.05.2026&amp;dst=105532&amp;field=134" TargetMode="External"/><Relationship Id="rId38" Type="http://schemas.openxmlformats.org/officeDocument/2006/relationships/hyperlink" Target="http://172.30.45.4/cons/cgi/online.cgi?req=doc&amp;base=LAW&amp;n=529197&amp;date=19.05.2026&amp;dst=103016&amp;field=134" TargetMode="External"/><Relationship Id="rId39" Type="http://schemas.openxmlformats.org/officeDocument/2006/relationships/hyperlink" Target="http://172.30.45.4/cons/cgi/online.cgi?req=doc&amp;base=LAW&amp;n=529197&amp;date=19.05.2026&amp;dst=104304&amp;field=134" TargetMode="External"/><Relationship Id="rId40" Type="http://schemas.openxmlformats.org/officeDocument/2006/relationships/hyperlink" Target="http://172.30.45.4/cons/cgi/online.cgi?req=doc&amp;base=LAW&amp;n=529197&amp;date=19.05.2026&amp;dst=104365&amp;field=134" TargetMode="External"/><Relationship Id="rId41" Type="http://schemas.openxmlformats.org/officeDocument/2006/relationships/hyperlink" Target="http://172.30.45.4/cons/cgi/online.cgi?req=doc&amp;base=LAW&amp;n=529197&amp;date=19.05.2026&amp;dst=104555&amp;field=134" TargetMode="External"/><Relationship Id="rId42" Type="http://schemas.openxmlformats.org/officeDocument/2006/relationships/hyperlink" Target="http://172.30.45.4/cons/cgi/online.cgi?req=doc&amp;base=LAW&amp;n=529197&amp;date=19.05.2026&amp;dst=104721&amp;field=134" TargetMode="External"/><Relationship Id="rId43" Type="http://schemas.openxmlformats.org/officeDocument/2006/relationships/hyperlink" Target="http://172.30.45.4/cons/cgi/online.cgi?req=doc&amp;base=LAW&amp;n=529197&amp;date=19.05.2026&amp;dst=105027&amp;field=134" TargetMode="External"/><Relationship Id="rId44" Type="http://schemas.openxmlformats.org/officeDocument/2006/relationships/hyperlink" Target="http://172.30.45.4/cons/cgi/online.cgi?req=doc&amp;base=LAW&amp;n=529197&amp;date=19.05.2026&amp;dst=105441&amp;field=134" TargetMode="External"/><Relationship Id="rId45" Type="http://schemas.openxmlformats.org/officeDocument/2006/relationships/hyperlink" Target="http://172.30.45.4/cons/cgi/online.cgi?req=doc&amp;base=LAW&amp;n=529197&amp;date=19.05.2026&amp;dst=105532&amp;field=134" TargetMode="External"/><Relationship Id="rId46" Type="http://schemas.openxmlformats.org/officeDocument/2006/relationships/image" Target="media/image3.wmf"/><Relationship Id="rId47" Type="http://schemas.openxmlformats.org/officeDocument/2006/relationships/image" Target="media/media3.svg"/><Relationship Id="rId48" Type="http://schemas.openxmlformats.org/officeDocument/2006/relationships/image" Target="media/image4.wmf"/><Relationship Id="rId49" Type="http://schemas.openxmlformats.org/officeDocument/2006/relationships/image" Target="media/media4.svg"/><Relationship Id="rId50" Type="http://schemas.openxmlformats.org/officeDocument/2006/relationships/image" Target="media/image5.wmf"/><Relationship Id="rId51" Type="http://schemas.openxmlformats.org/officeDocument/2006/relationships/image" Target="media/media5.svg"/><Relationship Id="rId52" Type="http://schemas.openxmlformats.org/officeDocument/2006/relationships/image" Target="media/image6.wmf"/><Relationship Id="rId53" Type="http://schemas.openxmlformats.org/officeDocument/2006/relationships/image" Target="media/media6.svg"/><Relationship Id="rId54" Type="http://schemas.openxmlformats.org/officeDocument/2006/relationships/image" Target="media/image7.wmf"/><Relationship Id="rId55" Type="http://schemas.openxmlformats.org/officeDocument/2006/relationships/image" Target="media/media7.svg"/><Relationship Id="rId56" Type="http://schemas.openxmlformats.org/officeDocument/2006/relationships/image" Target="media/image8.wmf"/><Relationship Id="rId57" Type="http://schemas.openxmlformats.org/officeDocument/2006/relationships/image" Target="media/media8.svg"/><Relationship Id="rId58" Type="http://schemas.openxmlformats.org/officeDocument/2006/relationships/image" Target="media/image9.wmf"/><Relationship Id="rId59" Type="http://schemas.openxmlformats.org/officeDocument/2006/relationships/image" Target="media/media9.svg"/><Relationship Id="rId60" Type="http://schemas.openxmlformats.org/officeDocument/2006/relationships/image" Target="media/image10.wmf"/><Relationship Id="rId61" Type="http://schemas.openxmlformats.org/officeDocument/2006/relationships/image" Target="media/media10.svg"/><Relationship Id="rId62" Type="http://schemas.openxmlformats.org/officeDocument/2006/relationships/image" Target="media/image11.wmf"/><Relationship Id="rId63" Type="http://schemas.openxmlformats.org/officeDocument/2006/relationships/image" Target="media/media11.svg"/><Relationship Id="rId64" Type="http://schemas.openxmlformats.org/officeDocument/2006/relationships/image" Target="media/image12.wmf"/><Relationship Id="rId65" Type="http://schemas.openxmlformats.org/officeDocument/2006/relationships/image" Target="media/media12.svg"/><Relationship Id="rId66" Type="http://schemas.openxmlformats.org/officeDocument/2006/relationships/hyperlink" Target="http://172.30.45.4/cons/cgi/online.cgi?req=doc&amp;base=LAW&amp;n=505294&amp;date=19.05.2026&amp;dst=29&amp;field=134" TargetMode="External"/><Relationship Id="rId67" Type="http://schemas.openxmlformats.org/officeDocument/2006/relationships/image" Target="media/image13.wmf"/><Relationship Id="rId68" Type="http://schemas.openxmlformats.org/officeDocument/2006/relationships/image" Target="media/media13.svg"/><Relationship Id="rId69" Type="http://schemas.openxmlformats.org/officeDocument/2006/relationships/image" Target="media/image14.wmf"/><Relationship Id="rId70" Type="http://schemas.openxmlformats.org/officeDocument/2006/relationships/image" Target="media/media1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Минэкономразвития России от 26.06.2025 N 425
"Об утверждении формы конкурсной заявки муниципального образования, представляемой для участия во Всероссийском конкурсе "Лучшая муниципальная практика" по номинации "Повышение узнаваемости муниципального образования ("бренд территории")", и методики оценки конкурсных заявок муниципальных образований, представляемых для участия во Всероссийском конкурсе "Лучшая муниципальная практика" по номинации "Повышение узнаваемости муниципального образования ("бренд </dc:title>
  <cp:lastModifiedBy>eakoliasova@pk.gov</cp:lastModifiedBy>
  <dcterms:created xsi:type="dcterms:W3CDTF">2026-05-19T11:39:01Z</dcterms:created>
</cp:coreProperties>
</file>