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21 июля 2025 г. N 82996</w:t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ЭКОНОМИЧЕСКОГО РАЗВИТИЯ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26 июня 2025 г. N 424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ФОРМЫ</w:t>
      </w:r>
    </w:p>
    <w:p>
      <w:pPr>
        <w:pStyle w:val="2"/>
        <w:jc w:val="center"/>
      </w:pPr>
      <w:r>
        <w:rPr>
          <w:sz w:val="24"/>
        </w:rPr>
        <w:t xml:space="preserve">КОНКУРСНОЙ ЗАЯВКИ МУНИЦИПАЛЬНОГО ОБРАЗОВАНИЯ, ПРЕДСТАВЛЯЕМОЙ</w:t>
      </w:r>
    </w:p>
    <w:p>
      <w:pPr>
        <w:pStyle w:val="2"/>
        <w:jc w:val="center"/>
      </w:pPr>
      <w:r>
        <w:rPr>
          <w:sz w:val="24"/>
        </w:rPr>
        <w:t xml:space="preserve">ДЛЯ УЧАСТИЯ ВО ВСЕРОССИЙСКОМ КОНКУРСЕ "ЛУЧШАЯ МУНИЦИПАЛЬНАЯ</w:t>
      </w:r>
    </w:p>
    <w:p>
      <w:pPr>
        <w:pStyle w:val="2"/>
        <w:jc w:val="center"/>
      </w:pPr>
      <w:r>
        <w:rPr>
          <w:sz w:val="24"/>
        </w:rPr>
        <w:t xml:space="preserve">ПРАКТИКА" ПО НОМИНАЦИИ "ПОВЫШЕНИЕ ЭФФЕКТИВНОСТИ УПРАВЛЕНИЯ</w:t>
      </w:r>
    </w:p>
    <w:p>
      <w:pPr>
        <w:pStyle w:val="2"/>
        <w:jc w:val="center"/>
      </w:pPr>
      <w:r>
        <w:rPr>
          <w:sz w:val="24"/>
        </w:rPr>
        <w:t xml:space="preserve">ТЕРРИТОРИЕЙ МУНИЦИПАЛЬНОГО ОБРАЗОВАНИЯ", И МЕТОДИКИ ОЦЕНКИ</w:t>
      </w:r>
    </w:p>
    <w:p>
      <w:pPr>
        <w:pStyle w:val="2"/>
        <w:jc w:val="center"/>
      </w:pPr>
      <w:r>
        <w:rPr>
          <w:sz w:val="24"/>
        </w:rPr>
        <w:t xml:space="preserve">КОНКУРСНЫХ ЗАЯВОК МУНИЦИПАЛЬНЫХ ОБРАЗОВАНИЙ, ПРЕДСТАВЛЯЕМЫХ</w:t>
      </w:r>
    </w:p>
    <w:p>
      <w:pPr>
        <w:pStyle w:val="2"/>
        <w:jc w:val="center"/>
      </w:pPr>
      <w:r>
        <w:rPr>
          <w:sz w:val="24"/>
        </w:rPr>
        <w:t xml:space="preserve">ДЛЯ УЧАСТИЯ ВО ВСЕРОССИЙСКОМ КОНКУРСЕ "ЛУЧШАЯ МУНИЦИПАЛЬНАЯ</w:t>
      </w:r>
    </w:p>
    <w:p>
      <w:pPr>
        <w:pStyle w:val="2"/>
        <w:jc w:val="center"/>
      </w:pPr>
      <w:r>
        <w:rPr>
          <w:sz w:val="24"/>
        </w:rPr>
        <w:t xml:space="preserve">ПРАКТИКА" ПО НОМИНАЦИИ "ПОВЫШЕНИЕ ЭФФЕКТИВНОСТИ УПРАВЛЕНИЯ</w:t>
      </w:r>
    </w:p>
    <w:p>
      <w:pPr>
        <w:pStyle w:val="2"/>
        <w:jc w:val="center"/>
      </w:pPr>
      <w:r>
        <w:rPr>
          <w:sz w:val="24"/>
        </w:rPr>
        <w:t xml:space="preserve">ТЕРРИТОРИЕЙ МУНИЦИПАЛЬНОГО ОБРАЗОВАНИЯ"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r:id="rId6" w:tooltip="Постановление Правительства РФ от 18.08.2016 N 815 (ред. от 14.05.2025) &quot;О Всероссийском конкурсе &quot;Лучшая муниципальная практика&quot; (вместе с &quot;Положением о Всероссийском конкурсе &quot;Лучшая муниципальная практика&quot;) {КонсультантПлюс}" w:history="0">
        <w:r>
          <w:rPr>
            <w:color w:val="0000ff"/>
            <w:sz w:val="24"/>
          </w:rPr>
          <w:t xml:space="preserve">подпунктом "б" пункта 9</w:t>
        </w:r>
      </w:hyperlink>
      <w:r>
        <w:rPr>
          <w:sz w:val="24"/>
        </w:rPr>
        <w:t xml:space="preserve"> Положения о Всероссийском конкурсе "Лучшая муниципальная практика", утвержденного постановлением Правительства Российской Федерации от 18 августа 2016 г. N 815, и </w:t>
      </w:r>
      <w:hyperlink r:id="rId7" w:tooltip="Постановление Правительства РФ от 05.06.2008 N 437 (ред. от 29.04.2026) &quot;О Министерстве экономического развития Российской Федерации&quot; {КонсультантПлюс}" w:history="0">
        <w:r>
          <w:rPr>
            <w:color w:val="0000ff"/>
            <w:sz w:val="24"/>
          </w:rPr>
          <w:t xml:space="preserve">абзацем первым пункта 1</w:t>
        </w:r>
      </w:hyperlink>
      <w:r>
        <w:rPr>
          <w:sz w:val="24"/>
        </w:rPr>
        <w:t xml:space="preserve"> Положения о Министерстве экономического развития Российской Федерации, утвержденного постановлением Правительства Российской Федерации от 5 июня 2008 г. N 437, приказываю: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 Утвердить прилагаемые:</w:t>
      </w:r>
    </w:p>
    <w:p>
      <w:pPr>
        <w:pStyle w:val="0"/>
        <w:spacing w:before="240"/>
        <w:ind w:firstLine="540"/>
        <w:jc w:val="both"/>
      </w:pPr>
      <w:hyperlink w:tooltip="                             КОНКУРСНАЯ ЗАЯВКА" w:anchor="P38" w:history="0">
        <w:r>
          <w:rPr>
            <w:color w:val="0000ff"/>
            <w:sz w:val="24"/>
          </w:rPr>
          <w:t xml:space="preserve">форму</w:t>
        </w:r>
      </w:hyperlink>
      <w:r>
        <w:rPr>
          <w:sz w:val="24"/>
        </w:rPr>
        <w:t xml:space="preserve"> конкурсной заявки муниципального образования, представляемой для участия во Всероссийском конкурсе "Лучшая муниципальная практика" по номинации "Повышение эффективности управления территорией муниципального образования", согласно приложению N 1 к настоящему приказу;</w:t>
      </w:r>
    </w:p>
    <w:p>
      <w:pPr>
        <w:pStyle w:val="0"/>
        <w:spacing w:before="240"/>
        <w:ind w:firstLine="540"/>
        <w:jc w:val="both"/>
      </w:pPr>
      <w:hyperlink w:tooltip="МЕТОДИКА" w:anchor="P670" w:history="0">
        <w:r>
          <w:rPr>
            <w:color w:val="0000ff"/>
            <w:sz w:val="24"/>
          </w:rPr>
          <w:t xml:space="preserve">методику</w:t>
        </w:r>
      </w:hyperlink>
      <w:r>
        <w:rPr>
          <w:sz w:val="24"/>
        </w:rPr>
        <w:t xml:space="preserve">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"Повышение эффективности управления территорией муниципального образования", согласно приложению N 2 к настоящему приказу.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r:id="rId8" w:tooltip="Приказ Минэкономразвития России от 20.07.2020 N 435 &quot;Об утверждении формы конкурсной заявки муниципальных образований, представляемой для участия во Всероссийском конкурсе &quot;Лучшая муниципальная практика&quot; по номинации &quot;муниципальная экономическая политика и управление муниципальными финансами&quot;, и методики оценки конкурсных заявок муниципальных образований, представляемых для участия во Всероссийском конкурсе &quot;Лучшая муниципальная практика&quot; по номинации &quot;муниципальная экономическая политика и управление муниц ------------ Утратил силу или отменен {КонсультантПлюс}" w:history="0">
        <w:r>
          <w:rPr>
            <w:color w:val="0000ff"/>
            <w:sz w:val="24"/>
          </w:rPr>
          <w:t xml:space="preserve">приказ</w:t>
        </w:r>
      </w:hyperlink>
      <w:r>
        <w:rPr>
          <w:sz w:val="24"/>
        </w:rPr>
        <w:t xml:space="preserve"> Минэкономразвития России от 20 июля 2020 г. N 435 "Об утверждении формы конкурсной заявки муниципальных образований, представляемой для участия во Всероссийском конкурсе "Лучшая муниципальная практика" по номинации "муниципальная экономическая политика и управление муниципальными финансами", и методики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"муниципальная экономическая политика и управление муниципальными финансами" (зарегистрирован Минюстом России 20 августа 2020 г., регистрационный N 59344).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М.Г.РЕШЕТНИКОВ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Минэкономразвития России</w:t>
      </w:r>
    </w:p>
    <w:p>
      <w:pPr>
        <w:pStyle w:val="0"/>
        <w:jc w:val="right"/>
      </w:pPr>
      <w:r>
        <w:rPr>
          <w:sz w:val="24"/>
        </w:rPr>
        <w:t xml:space="preserve">от 26.06.2025 N 424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38" w:name="P38"/>
    <w:bookmarkEnd w:id="38"/>
    <w:p>
      <w:pPr>
        <w:pStyle w:val="1"/>
        <w:jc w:val="both"/>
      </w:pPr>
      <w:r>
        <w:rPr>
          <w:sz w:val="20"/>
        </w:rPr>
        <w:t xml:space="preserve">                             КОНКУРСНАЯ ЗАЯВКА</w:t>
      </w:r>
    </w:p>
    <w:p>
      <w:pPr>
        <w:pStyle w:val="1"/>
        <w:jc w:val="both"/>
      </w:pPr>
      <w:r>
        <w:rPr>
          <w:sz w:val="20"/>
        </w:rPr>
        <w:t xml:space="preserve">                        МУНИЦИПАЛЬНОГО ОБРАЗОВАНИЯ,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представляемая для участия во Всероссийском конкурсе</w:t>
      </w:r>
    </w:p>
    <w:p>
      <w:pPr>
        <w:pStyle w:val="1"/>
        <w:jc w:val="both"/>
      </w:pPr>
      <w:r>
        <w:rPr>
          <w:sz w:val="20"/>
        </w:rPr>
        <w:t xml:space="preserve">          "Лучшая муниципальная практика" по номинации "Повышение</w:t>
      </w:r>
    </w:p>
    <w:p>
      <w:pPr>
        <w:pStyle w:val="1"/>
        <w:jc w:val="both"/>
      </w:pPr>
      <w:r>
        <w:rPr>
          <w:sz w:val="20"/>
        </w:rPr>
        <w:t xml:space="preserve">                   эффективности управления территорией</w:t>
      </w:r>
    </w:p>
    <w:p>
      <w:pPr>
        <w:pStyle w:val="1"/>
        <w:jc w:val="both"/>
      </w:pPr>
      <w:r>
        <w:rPr>
          <w:sz w:val="20"/>
        </w:rPr>
        <w:t xml:space="preserve">                        муниципального образования"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(наименование муниципального образования)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(субъект Российской Федерации)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(наименование номинации)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  организовать    рассмотрение   настоящей   конкурсной   заявки</w:t>
      </w:r>
    </w:p>
    <w:p>
      <w:pPr>
        <w:pStyle w:val="1"/>
        <w:jc w:val="both"/>
      </w:pPr>
      <w:r>
        <w:rPr>
          <w:sz w:val="20"/>
        </w:rPr>
        <w:t xml:space="preserve">муниципального  образования,  представляемой  для  участия во Всероссийском</w:t>
      </w:r>
    </w:p>
    <w:p>
      <w:pPr>
        <w:pStyle w:val="1"/>
        <w:jc w:val="both"/>
      </w:pPr>
      <w:r>
        <w:rPr>
          <w:sz w:val="20"/>
        </w:rPr>
        <w:t xml:space="preserve">конкурсе   "Лучшая   муниципальная   практика"   по   номинации  "Повышение</w:t>
      </w:r>
    </w:p>
    <w:p>
      <w:pPr>
        <w:pStyle w:val="1"/>
        <w:jc w:val="both"/>
      </w:pPr>
      <w:r>
        <w:rPr>
          <w:sz w:val="20"/>
        </w:rPr>
        <w:t xml:space="preserve">эффективности  управления  территорией муниципального образования" (далее -</w:t>
      </w:r>
    </w:p>
    <w:p>
      <w:pPr>
        <w:pStyle w:val="1"/>
        <w:jc w:val="both"/>
      </w:pPr>
      <w:r>
        <w:rPr>
          <w:sz w:val="20"/>
        </w:rPr>
        <w:t xml:space="preserve">конкурсная заявка и конкурс соответственно).</w:t>
      </w:r>
    </w:p>
    <w:p>
      <w:pPr>
        <w:pStyle w:val="1"/>
        <w:jc w:val="both"/>
      </w:pPr>
      <w:r>
        <w:rPr>
          <w:sz w:val="20"/>
        </w:rPr>
        <w:t xml:space="preserve">    С  условиями  и  требованиями конкурса, предусмотренного </w:t>
      </w:r>
      <w:hyperlink r:id="rId9" w:tooltip="Постановление Правительства РФ от 18.08.2016 N 815 (ред. от 14.05.2025) &quot;О Всероссийском конкурсе &quot;Лучшая муниципальная практика&quot; (вместе с &quot;Положением о Всероссийском конкурсе &quot;Лучшая муниципальная практика&quot;) {КонсультантПлюс}" w:history="0">
        <w:r>
          <w:rPr>
            <w:color w:val="0000ff"/>
            <w:sz w:val="20"/>
          </w:rPr>
          <w:t xml:space="preserve">постановлением</w:t>
        </w:r>
      </w:hyperlink>
    </w:p>
    <w:p>
      <w:pPr>
        <w:pStyle w:val="1"/>
        <w:jc w:val="both"/>
      </w:pPr>
      <w:r>
        <w:rPr>
          <w:sz w:val="20"/>
        </w:rPr>
        <w:t xml:space="preserve">Правительства   Российской   Федерации  от  18  августа  2016  г.  N 815 "О</w:t>
      </w:r>
    </w:p>
    <w:p>
      <w:pPr>
        <w:pStyle w:val="1"/>
        <w:jc w:val="both"/>
      </w:pPr>
      <w:r>
        <w:rPr>
          <w:sz w:val="20"/>
        </w:rPr>
        <w:t xml:space="preserve">Всероссийском   конкурсе  "Лучшая  муниципальная  практика",  ознакомлен  и</w:t>
      </w:r>
    </w:p>
    <w:p>
      <w:pPr>
        <w:pStyle w:val="1"/>
        <w:jc w:val="both"/>
      </w:pPr>
      <w:r>
        <w:rPr>
          <w:sz w:val="20"/>
        </w:rPr>
        <w:t xml:space="preserve">согласен.</w:t>
      </w:r>
    </w:p>
    <w:p>
      <w:pPr>
        <w:pStyle w:val="1"/>
        <w:jc w:val="both"/>
      </w:pPr>
      <w:r>
        <w:rPr>
          <w:sz w:val="20"/>
        </w:rPr>
        <w:t xml:space="preserve">    По вопросам участия прошу взаимодействовать с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(фамилия, имя и отчество (при наличии), должность лица (при наличии),</w:t>
      </w:r>
    </w:p>
    <w:p>
      <w:pPr>
        <w:pStyle w:val="1"/>
        <w:jc w:val="both"/>
      </w:pPr>
      <w:r>
        <w:rPr>
          <w:sz w:val="20"/>
        </w:rPr>
        <w:t xml:space="preserve">          номер телефона и адрес электронной почты (при наличии)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Описание практики муниципального образования (далее - описание практики)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10"/>
        <w:gridCol w:w="3288"/>
        <w:gridCol w:w="5246"/>
      </w:tblGrid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28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Признаки элемента практики</w:t>
            </w:r>
          </w:p>
        </w:tc>
        <w:tc>
          <w:tcPr>
            <w:tcW w:w="524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Содержание</w:t>
            </w:r>
          </w:p>
        </w:tc>
      </w:tr>
      <w:tr>
        <w:tc>
          <w:tcPr>
            <w:tcW w:w="510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288" w:type="dxa"/>
            <w:vMerge w:val="restart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практики, направленной на повышение эффективности управления территорией муниципального образования</w:t>
            </w:r>
          </w:p>
        </w:tc>
        <w:tc>
          <w:tcPr>
            <w:tcW w:w="524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4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(присваивается муниципальным образованием самостоятельно с кратким отражением реализуемой практики)</w:t>
            </w:r>
          </w:p>
        </w:tc>
      </w:tr>
      <w:tr>
        <w:tc>
          <w:tcPr>
            <w:tcW w:w="510" w:type="dxa"/>
            <w:vMerge w:val="restart"/>
            <w:vAlign w:val="center"/>
          </w:tcPr>
          <w:bookmarkStart w:id="75" w:name="P75"/>
          <w:bookmarkEnd w:id="75"/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288" w:type="dxa"/>
            <w:vMerge w:val="restart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Направления практики</w:t>
            </w:r>
          </w:p>
        </w:tc>
        <w:tc>
          <w:tcPr>
            <w:tcW w:w="524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4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(осуществляется выбор не менее двух следующих направлений практики: "Инвестиции", "Управление имуществом и инфраструктурой", "Новые источники доходов бюджета и управление муниципальными заимствованиями")</w:t>
            </w:r>
          </w:p>
        </w:tc>
      </w:tr>
      <w:tr>
        <w:tc>
          <w:tcPr>
            <w:tcW w:w="510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288" w:type="dxa"/>
            <w:vMerge w:val="restart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Описание механизмов, составляющих управленческую практику</w:t>
            </w:r>
          </w:p>
        </w:tc>
        <w:tc>
          <w:tcPr>
            <w:tcW w:w="524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4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(краткое описание механизмов, применяемых при реализации практики)</w:t>
            </w:r>
          </w:p>
        </w:tc>
      </w:tr>
      <w:tr>
        <w:tc>
          <w:tcPr>
            <w:tcW w:w="510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288" w:type="dxa"/>
            <w:vMerge w:val="restart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Результаты реализации описываемых практик, которые подтверждаются соответствующими значениями показателей</w:t>
            </w:r>
          </w:p>
        </w:tc>
        <w:tc>
          <w:tcPr>
            <w:tcW w:w="524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4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(краткое описание достигнутых результатов при реализации практики, включая цифровые значения)</w:t>
            </w:r>
          </w:p>
        </w:tc>
      </w:tr>
      <w:tr>
        <w:tc>
          <w:tcPr>
            <w:tcW w:w="5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28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Презентационные материалы (не более 7 слайдов)</w:t>
            </w:r>
          </w:p>
        </w:tc>
        <w:tc>
          <w:tcPr>
            <w:tcW w:w="5246" w:type="dxa"/>
          </w:tcPr>
          <w:p>
            <w:pPr>
              <w:pStyle w:val="0"/>
            </w:pPr>
            <w:r>
              <w:rPr>
                <w:sz w:val="24"/>
              </w:rPr>
              <w:t xml:space="preserve">Прикладываются в качестве приложения к настоящей конкурсной заявке.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Показатели, характеризующие деятельность муниципального образования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37"/>
        <w:gridCol w:w="6236"/>
        <w:gridCol w:w="1020"/>
        <w:gridCol w:w="1077"/>
      </w:tblGrid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23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показателя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Исходные данные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Значение показателя</w:t>
            </w:r>
          </w:p>
        </w:tc>
      </w:tr>
      <w:tr>
        <w:tc>
          <w:tcPr>
            <w:tcW w:w="9070" w:type="dxa"/>
            <w:gridSpan w:val="4"/>
          </w:tcPr>
          <w:bookmarkStart w:id="97" w:name="P97"/>
          <w:bookmarkEnd w:id="97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Раздел 1. Показатели, характеризующие социально-экономическую ситуацию в муниципальном образовании</w:t>
            </w:r>
          </w:p>
        </w:tc>
      </w:tr>
      <w:tr>
        <w:tc>
          <w:tcPr>
            <w:tcW w:w="737" w:type="dxa"/>
            <w:vMerge w:val="restart"/>
          </w:tcPr>
          <w:bookmarkStart w:id="98" w:name="P98"/>
          <w:bookmarkEnd w:id="98"/>
          <w:p>
            <w:pPr>
              <w:pStyle w:val="0"/>
              <w:jc w:val="center"/>
            </w:pPr>
            <w:r>
              <w:rPr>
                <w:sz w:val="24"/>
              </w:rPr>
              <w:t xml:space="preserve">1.1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Средний темп роста численности постоянного населения муниципального образования за три последних отчетных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760470" cy="365760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0">
                                <a:extLst>
                                  <a:ext uri="{96DAC541-7B7A-43D3-8B79-37D633B846F1}">
                                    <asvg:svgBlip xmlns:asvg="http://schemas.microsoft.com/office/drawing/2016/SVG/main" r:embed="rId11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76047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96.10pt;height:28.80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11i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in-1;</w:t>
            </w:r>
            <w:r>
              <w:rPr>
                <w:sz w:val="24"/>
              </w:rPr>
              <w:t xml:space="preserve"> 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численность постоянного населения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109" w:name="P109"/>
          <w:bookmarkEnd w:id="109"/>
          <w:p>
            <w:pPr>
              <w:pStyle w:val="0"/>
              <w:jc w:val="center"/>
            </w:pPr>
            <w:r>
              <w:rPr>
                <w:sz w:val="24"/>
              </w:rPr>
              <w:t xml:space="preserve">1.2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Средний темп роста объема инвестиций в основной капитал (за исключением бюджетных средств) на территории муниципального образования в расчете на 1 жителя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35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81120" cy="598170"/>
                      <wp:effectExtent l="0" t="0" r="0" b="0"/>
                      <wp:docPr id="2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2">
                                <a:extLst>
                                  <a:ext uri="{96DAC541-7B7A-43D3-8B79-37D633B846F1}">
                                    <asvg:svgBlip xmlns:asvg="http://schemas.microsoft.com/office/drawing/2016/SVG/main" r:embed="rId13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81120" cy="598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305.60pt;height:47.1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12i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in-1;</w:t>
            </w:r>
            <w:r>
              <w:rPr>
                <w:sz w:val="24"/>
              </w:rPr>
              <w:t xml:space="preserve"> 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объем инвестиций в основной капитал (за исключением бюджетных средств) на территории i-го муниципального образования соответственно в ____ г., ____ г., ____ г. и ____ г.;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, B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, B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, B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численность постоянного населения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125" w:name="P125"/>
          <w:bookmarkEnd w:id="125"/>
          <w:p>
            <w:pPr>
              <w:pStyle w:val="0"/>
              <w:jc w:val="center"/>
            </w:pPr>
            <w:r>
              <w:rPr>
                <w:sz w:val="24"/>
              </w:rPr>
              <w:t xml:space="preserve">1.3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Средний темп роста оборота розничной торговли на территории муниципального образования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760470" cy="365760"/>
                      <wp:effectExtent l="0" t="0" r="0" b="0"/>
                      <wp:docPr id="3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76047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296.10pt;height:28.80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13i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оборот розничной торговли на территории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136" w:name="P136"/>
          <w:bookmarkEnd w:id="136"/>
          <w:p>
            <w:pPr>
              <w:pStyle w:val="0"/>
              <w:jc w:val="center"/>
            </w:pPr>
            <w:r>
              <w:rPr>
                <w:sz w:val="24"/>
              </w:rPr>
              <w:t xml:space="preserve">1.4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Средний темп роста среднемесячной заработной платы работников организаций на территории муниципального образования за три последних отчетных финансовых года, скорректированный на стоимость жизни,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35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81120" cy="598170"/>
                      <wp:effectExtent l="0" t="0" r="0" b="0"/>
                      <wp:docPr id="4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6">
                                <a:extLst>
                                  <a:ext uri="{96DAC541-7B7A-43D3-8B79-37D633B846F1}">
                                    <asvg:svgBlip xmlns:asvg="http://schemas.microsoft.com/office/drawing/2016/SVG/main" r:embed="rId17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81120" cy="598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305.60pt;height:47.10pt;mso-wrap-distance-left:0.00pt;mso-wrap-distance-top:0.00pt;mso-wrap-distance-right:0.00pt;mso-wrap-distance-bottom:0.00pt;" stroked="f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14i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in-1;</w:t>
            </w:r>
            <w:r>
              <w:rPr>
                <w:sz w:val="24"/>
              </w:rPr>
              <w:t xml:space="preserve"> 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среднемесячная заработная плата работников организаций на территории i-го муниципального образования соответственно в ____ г., ____ г., ____ г. и ____ г.;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, B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, B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, B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прожиточный минимум в субъекте Российской Федерации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152" w:name="P152"/>
          <w:bookmarkEnd w:id="152"/>
          <w:p>
            <w:pPr>
              <w:pStyle w:val="0"/>
              <w:jc w:val="center"/>
            </w:pPr>
            <w:r>
              <w:rPr>
                <w:sz w:val="24"/>
              </w:rPr>
              <w:t xml:space="preserve">1.5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Средний темп роста налоговой базы по налогу на доходы физических лиц на территории муниципального образования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760470" cy="365760"/>
                      <wp:effectExtent l="0" t="0" r="0" b="0"/>
                      <wp:docPr id="5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8">
                                <a:extLst>
                                  <a:ext uri="{96DAC541-7B7A-43D3-8B79-37D633B846F1}">
                                    <asvg:svgBlip xmlns:asvg="http://schemas.microsoft.com/office/drawing/2016/SVG/main" r:embed="rId19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76047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296.10pt;height:28.80pt;mso-wrap-distance-left:0.00pt;mso-wrap-distance-top:0.00pt;mso-wrap-distance-right:0.00pt;mso-wrap-distance-bottom:0.00pt;" stroked="f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15i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in-1;</w:t>
            </w:r>
            <w:r>
              <w:rPr>
                <w:sz w:val="24"/>
              </w:rPr>
              <w:t xml:space="preserve"> 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налоговая база по налогу на доходы физических лиц, подлежащая налогообложению по всем налоговым ставкам на территории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163" w:name="P163"/>
          <w:bookmarkEnd w:id="163"/>
          <w:p>
            <w:pPr>
              <w:pStyle w:val="0"/>
              <w:jc w:val="center"/>
            </w:pPr>
            <w:r>
              <w:rPr>
                <w:sz w:val="24"/>
              </w:rPr>
              <w:t xml:space="preserve">1.6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Отношение числа граждан, занятых в экономике муниципального образования, к численности населения муниципального образования в трудоспособном возрасте за отчетный финансовый год (мужчины 16 - 65 лет, женщины 16 - 60 лет),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16i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16i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число граждан, занятых в экономике муниципального образования;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численность населения муниципального образования в трудоспособном возрасте (мужчины 16 - 65 лет, женщины 16 - 60 лет).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173" w:name="P173"/>
          <w:bookmarkEnd w:id="173"/>
          <w:p>
            <w:pPr>
              <w:pStyle w:val="0"/>
              <w:jc w:val="center"/>
            </w:pPr>
            <w:r>
              <w:rPr>
                <w:sz w:val="24"/>
              </w:rPr>
              <w:t xml:space="preserve">1.7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Рост среднегодовой численности занятых в экономике за отчетный год по сравнению с уровнем года, предшествующего отчетному (источник: Росстат),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17i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17i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среднегодовая численность занятых в экономике за отчетный год;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среднегодовая численность занятых в экономике за предыдущий год.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183" w:name="P183"/>
          <w:bookmarkEnd w:id="183"/>
          <w:p>
            <w:pPr>
              <w:pStyle w:val="0"/>
              <w:jc w:val="center"/>
            </w:pPr>
            <w:r>
              <w:rPr>
                <w:sz w:val="24"/>
              </w:rPr>
              <w:t xml:space="preserve">1.8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Коэффициент напряженности на рынке труда на 1 января года подачи конкурсной заявки,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18i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18i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число незанятых граждан, зарегистрированных в службах занятости;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вакантные рабочие места.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9070" w:type="dxa"/>
            <w:gridSpan w:val="4"/>
          </w:tcPr>
          <w:bookmarkStart w:id="193" w:name="P193"/>
          <w:bookmarkEnd w:id="193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Раздел 2. Показатели, характеризующие управление муниципальными финансами</w:t>
            </w:r>
          </w:p>
        </w:tc>
      </w:tr>
      <w:tr>
        <w:tc>
          <w:tcPr>
            <w:tcW w:w="737" w:type="dxa"/>
            <w:vMerge w:val="restart"/>
          </w:tcPr>
          <w:bookmarkStart w:id="194" w:name="P194"/>
          <w:bookmarkEnd w:id="194"/>
          <w:p>
            <w:pPr>
              <w:pStyle w:val="0"/>
              <w:jc w:val="center"/>
            </w:pPr>
            <w:r>
              <w:rPr>
                <w:sz w:val="24"/>
              </w:rPr>
              <w:t xml:space="preserve">2.1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Средний темп роста налоговых доходов бюджета муниципального образования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783330" cy="365760"/>
                      <wp:effectExtent l="0" t="0" r="0" b="0"/>
                      <wp:docPr id="6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20">
                                <a:extLst>
                                  <a:ext uri="{96DAC541-7B7A-43D3-8B79-37D633B846F1}">
                                    <asvg:svgBlip xmlns:asvg="http://schemas.microsoft.com/office/drawing/2016/SVG/main" r:embed="rId21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78333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297.90pt;height:28.80pt;mso-wrap-distance-left:0.00pt;mso-wrap-distance-top:0.00pt;mso-wrap-distance-right:0.00pt;mso-wrap-distance-bottom:0.00pt;" stroked="f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21j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in-1;</w:t>
            </w:r>
            <w:r>
              <w:rPr>
                <w:sz w:val="24"/>
              </w:rPr>
              <w:t xml:space="preserve"> 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 xml:space="preserve">_</w:t>
            </w:r>
            <w:r>
              <w:rPr>
                <w:sz w:val="24"/>
              </w:rPr>
              <w:t xml:space="preserve"> объем налоговых доходов бюджета i-го муниципального образования, поступивших по единым нормативам отчислений, установленным Бюджетным </w:t>
            </w:r>
            <w:hyperlink r:id="rId22" w:tooltip="&quot;Бюджетный кодекс Российской Федерации&quot; от 31.07.1998 N 145-ФЗ (ред. от 28.12.2025, с изм. от 31.03.2026) {КонсультантПлюс}" w:history="0">
              <w:r>
                <w:rPr>
                  <w:color w:val="0000ff"/>
                  <w:sz w:val="24"/>
                </w:rPr>
                <w:t xml:space="preserve">кодексом</w:t>
              </w:r>
            </w:hyperlink>
            <w:r>
              <w:rPr>
                <w:sz w:val="24"/>
              </w:rPr>
              <w:t xml:space="preserve"> Российской Федерации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05" w:name="P205"/>
          <w:bookmarkEnd w:id="205"/>
          <w:p>
            <w:pPr>
              <w:pStyle w:val="0"/>
              <w:jc w:val="center"/>
            </w:pPr>
            <w:r>
              <w:rPr>
                <w:sz w:val="24"/>
              </w:rPr>
              <w:t xml:space="preserve">2.2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Доля налоговых и неналоговых доходов бюджета муниципального образования (за исключением поступлений налоговых доходов по дополнительным нормативам отчислений) от общего объема собственных доходов бюджета муниципального образования в отчетном финансовом году,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22i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22i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объем налоговых и неналоговых доходов местного бюджета (за исключением поступлений налоговых доходов по дополнительным нормативам отчислений)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общий объем собственных доходов местного бюджета в отчетном финансовом году.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15" w:name="P215"/>
          <w:bookmarkEnd w:id="215"/>
          <w:p>
            <w:pPr>
              <w:pStyle w:val="0"/>
              <w:jc w:val="center"/>
            </w:pPr>
            <w:r>
              <w:rPr>
                <w:sz w:val="24"/>
              </w:rPr>
              <w:t xml:space="preserve">2.3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Отношение объема просроченной кредиторской задолженности бюджета муниципального образования и муниципальных казенных учреждений к объему расходов бюджета муниципального образования,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23i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23i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 xml:space="preserve">_</w:t>
            </w:r>
            <w:r>
              <w:rPr>
                <w:sz w:val="24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объем просроченной кредиторской задолженности местного бюджета и муниципальных казенных учреждений i-го муниципального образования на 1 января текущего финансового года;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объем расходов бюджета i-го муниципального образования в отчетном финансовом году.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25" w:name="P225"/>
          <w:bookmarkEnd w:id="225"/>
          <w:p>
            <w:pPr>
              <w:pStyle w:val="0"/>
              <w:jc w:val="center"/>
            </w:pPr>
            <w:r>
              <w:rPr>
                <w:sz w:val="24"/>
              </w:rPr>
              <w:t xml:space="preserve">2.4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Отношение объема субсидий, предоставляемых из бюджета муниципального образования социально ориентированным некоммерческим организациям, к общему объему расходов бюджета муниципального образования,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24i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24i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 xml:space="preserve">_</w:t>
            </w:r>
            <w:r>
              <w:rPr>
                <w:sz w:val="24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объем субсидий, предоставленных из бюджета i-го муниципального образования социально ориентированным некоммерческим организациям, не являющимся муниципальными учреждениями, на реализацию муниципальных услуг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объем расходов местного бюджета i-го муниципального образования в отчетном финансовом году.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35" w:name="P235"/>
          <w:bookmarkEnd w:id="235"/>
          <w:p>
            <w:pPr>
              <w:pStyle w:val="0"/>
              <w:jc w:val="center"/>
            </w:pPr>
            <w:r>
              <w:rPr>
                <w:sz w:val="24"/>
              </w:rPr>
              <w:t xml:space="preserve">2.5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Отношение объема расходных обязательств муниципального образования, не связанных с решением вопросов местного значения и исполнением полномочий по указанным вопросам, к объему расходных обязательств по вопросам местного значения (согласно информации из реестра расходных обязательств муниципального образования, предусмотренного </w:t>
            </w:r>
            <w:hyperlink r:id="rId23" w:tooltip="&quot;Бюджетный кодекс Российской Федерации&quot; от 31.07.1998 N 145-ФЗ (ред. от 28.12.2025, с изм. от 31.03.2026) {КонсультантПлюс}" w:history="0">
              <w:r>
                <w:rPr>
                  <w:color w:val="0000ff"/>
                  <w:sz w:val="24"/>
                </w:rPr>
                <w:t xml:space="preserve">статьей 87</w:t>
              </w:r>
            </w:hyperlink>
            <w:r>
              <w:rPr>
                <w:sz w:val="24"/>
              </w:rPr>
              <w:t xml:space="preserve"> Бюджетного кодекса Российской Федерации),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25i</w:t>
            </w:r>
            <w:r>
              <w:rPr>
                <w:sz w:val="24"/>
              </w:rPr>
              <w:t xml:space="preserve"> = (A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) /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25i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объем расходных обязательств муниципального образования, связанных с решением вопросов местного значения и полномочий i-го муниципального образования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объем расходных обязательств и полномочий, не связанных с решением вопросов местного значения i-го муниципального образования в отчетном финансовом году (без учета объема расходных обязательств, осуществляемых за счет субвенций).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45" w:name="P245"/>
          <w:bookmarkEnd w:id="245"/>
          <w:p>
            <w:pPr>
              <w:pStyle w:val="0"/>
              <w:jc w:val="center"/>
            </w:pPr>
            <w:r>
              <w:rPr>
                <w:sz w:val="24"/>
              </w:rPr>
              <w:t xml:space="preserve">2.6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Отношение недополученных доходов по местным налогам в результате действия налоговых льгот, установленных представительным органом местного самоуправления муниципального образования в соответствии с Налоговым </w:t>
            </w:r>
            <w:hyperlink r:id="rId24" w:tooltip="&quot;Налоговый кодекс Российской Федерации (часть первая)&quot; от 31.07.1998 N 146-ФЗ (ред. от 17.04.2026) {КонсультантПлюс}" w:history="0">
              <w:r>
                <w:rPr>
                  <w:color w:val="0000ff"/>
                  <w:sz w:val="24"/>
                </w:rPr>
                <w:t xml:space="preserve">кодексом</w:t>
              </w:r>
            </w:hyperlink>
            <w:r>
              <w:rPr>
                <w:sz w:val="24"/>
              </w:rPr>
              <w:t xml:space="preserve"> Российской Федерации, к общему объему поступлений по местным налогам,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26i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26i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объем недополученных доходов по местным налогам в результате действия налоговых льгот, установленных представительными органами местного самоуправления i-го муниципального образования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общий объем доходов от поступлений по местным налогам в i-м муниципальном образовании в отчетном финансовом году.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55" w:name="P255"/>
          <w:bookmarkEnd w:id="255"/>
          <w:p>
            <w:pPr>
              <w:pStyle w:val="0"/>
              <w:jc w:val="center"/>
            </w:pPr>
            <w:r>
              <w:rPr>
                <w:sz w:val="24"/>
              </w:rPr>
              <w:t xml:space="preserve">2.7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Исполнение бюджета муниципального образования по расходам относительно первоначально утвержденного бюджета (за исключением расходов за счет межбюджетных трансфертов),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27i</w:t>
            </w:r>
            <w:r>
              <w:rPr>
                <w:sz w:val="24"/>
              </w:rPr>
              <w:t xml:space="preserve"> = |A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|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27i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фактический объем расходов бюджета i-го муниципального образования (за исключением расходов за счет межбюджетных трансфертов)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первоначально утвержденный решением о бюджете i-го муниципального образования объем расходов местного бюджета (за исключением расходов за счет межбюджетных трансфертов) за отчетный финансовый год.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65" w:name="P265"/>
          <w:bookmarkEnd w:id="265"/>
          <w:p>
            <w:pPr>
              <w:pStyle w:val="0"/>
              <w:jc w:val="center"/>
            </w:pPr>
            <w:r>
              <w:rPr>
                <w:sz w:val="24"/>
              </w:rPr>
              <w:t xml:space="preserve">2.8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Доля сотрудников, имеющих высшее образование, в фактической штатной численности финансового органа муниципального образования,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28i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28i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 xml:space="preserve">_</w:t>
            </w:r>
            <w:r>
              <w:rPr>
                <w:sz w:val="24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численность в отчетном финансовом году сотрудников, имеющих высшее образование, финансового органа i-го муниципального образования;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штатная численность финансового органа i-го муниципального образования на 1 января текущего года.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75" w:name="P275"/>
          <w:bookmarkEnd w:id="275"/>
          <w:p>
            <w:pPr>
              <w:pStyle w:val="0"/>
              <w:jc w:val="center"/>
            </w:pPr>
            <w:r>
              <w:rPr>
                <w:sz w:val="24"/>
              </w:rPr>
              <w:t xml:space="preserve">2.9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Доля сотрудников, имеющих ученую степень, в штатной численности финансового органа муниципального образования,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29i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29j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численность в отчетном финансовом году сотрудников, имеющих ученую степень, финансового органа i-го муниципального образования;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фактическая на 1 января текущего года штатная численность финансового органа i-го муниципального образования.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285" w:name="P285"/>
          <w:bookmarkEnd w:id="285"/>
          <w:p>
            <w:pPr>
              <w:pStyle w:val="0"/>
              <w:jc w:val="center"/>
            </w:pPr>
            <w:r>
              <w:rPr>
                <w:sz w:val="24"/>
              </w:rPr>
              <w:t xml:space="preserve">2.10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Доля сотрудников, работающих в финансовом органе муниципального образования более 3 лет,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210i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210i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количество сотрудников финансового органа, работающих в финансовом органе более 3 лет, на 1 января текущего года;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фактическая штатная численность финансового органа i-го муниципального образования.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9070" w:type="dxa"/>
            <w:gridSpan w:val="4"/>
            <w:vAlign w:val="center"/>
          </w:tcPr>
          <w:bookmarkStart w:id="295" w:name="P295"/>
          <w:bookmarkEnd w:id="295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Раздел 3. Показатели, характеризующие выбранное направление практики</w:t>
            </w:r>
          </w:p>
        </w:tc>
      </w:tr>
      <w:tr>
        <w:tc>
          <w:tcPr>
            <w:tcW w:w="9070" w:type="dxa"/>
            <w:gridSpan w:val="4"/>
            <w:vAlign w:val="center"/>
          </w:tcPr>
          <w:bookmarkStart w:id="296" w:name="P296"/>
          <w:bookmarkEnd w:id="296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Подраздел 3.1. Показатели, характеризующие направление практики "Инвестиции"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(раздел заполняется при выборе направления практики "Инвестиции", описанного в </w:t>
            </w:r>
            <w:hyperlink w:tooltip="2" w:anchor="P75" w:history="0">
              <w:r>
                <w:rPr>
                  <w:color w:val="0000ff"/>
                  <w:sz w:val="24"/>
                </w:rPr>
                <w:t xml:space="preserve">пункте 2</w:t>
              </w:r>
            </w:hyperlink>
            <w:r>
              <w:rPr>
                <w:sz w:val="24"/>
              </w:rPr>
              <w:t xml:space="preserve"> описания практики)</w:t>
            </w:r>
          </w:p>
        </w:tc>
      </w:tr>
      <w:tr>
        <w:tc>
          <w:tcPr>
            <w:tcW w:w="737" w:type="dxa"/>
            <w:vMerge w:val="restart"/>
          </w:tcPr>
          <w:bookmarkStart w:id="298" w:name="P298"/>
          <w:bookmarkEnd w:id="298"/>
          <w:p>
            <w:pPr>
              <w:pStyle w:val="0"/>
              <w:jc w:val="center"/>
            </w:pPr>
            <w:r>
              <w:rPr>
                <w:sz w:val="24"/>
              </w:rPr>
              <w:t xml:space="preserve">3.1.1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Средний темп роста числа субъектов малого и среднего предпринимательства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74770" cy="365760"/>
                      <wp:effectExtent l="0" t="0" r="0" b="0"/>
                      <wp:docPr id="7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25">
                                <a:extLst>
                                  <a:ext uri="{96DAC541-7B7A-43D3-8B79-37D633B846F1}">
                                    <asvg:svgBlip xmlns:asvg="http://schemas.microsoft.com/office/drawing/2016/SVG/main" r:embed="rId26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7477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305.10pt;height:28.80pt;mso-wrap-distance-left:0.00pt;mso-wrap-distance-top:0.00pt;mso-wrap-distance-right:0.00pt;mso-wrap-distance-bottom:0.00pt;" stroked="f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311i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число субъектов МСП на территории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309" w:name="P309"/>
          <w:bookmarkEnd w:id="309"/>
          <w:p>
            <w:pPr>
              <w:pStyle w:val="0"/>
              <w:jc w:val="center"/>
            </w:pPr>
            <w:r>
              <w:rPr>
                <w:sz w:val="24"/>
              </w:rPr>
              <w:t xml:space="preserve">3.1.2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Средний темп роста численности работников субъекта малого и среднего предпринимательства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74770" cy="365760"/>
                      <wp:effectExtent l="0" t="0" r="0" b="0"/>
                      <wp:docPr id="8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27">
                                <a:extLst>
                                  <a:ext uri="{96DAC541-7B7A-43D3-8B79-37D633B846F1}">
                                    <asvg:svgBlip xmlns:asvg="http://schemas.microsoft.com/office/drawing/2016/SVG/main" r:embed="rId28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7477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305.10pt;height:28.80pt;mso-wrap-distance-left:0.00pt;mso-wrap-distance-top:0.00pt;mso-wrap-distance-right:0.00pt;mso-wrap-distance-bottom:0.00pt;" stroked="f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312i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численность работников субъекта малого и среднего предпринимательства на территории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320" w:name="P320"/>
          <w:bookmarkEnd w:id="320"/>
          <w:p>
            <w:pPr>
              <w:pStyle w:val="0"/>
              <w:jc w:val="center"/>
            </w:pPr>
            <w:r>
              <w:rPr>
                <w:sz w:val="24"/>
              </w:rPr>
              <w:t xml:space="preserve">3.1.3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Рост оборота малых и средних предприятий за отчетный год по сравнению с уровнем года, предшествующего отчетному,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313i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313i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оборот малых и средних предприятий за отчетный год;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оборот малых и средних предприятий за год, предшествующий году подачи конкурсной заявки.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330" w:name="P330"/>
          <w:bookmarkEnd w:id="330"/>
          <w:p>
            <w:pPr>
              <w:pStyle w:val="0"/>
              <w:jc w:val="center"/>
            </w:pPr>
            <w:r>
              <w:rPr>
                <w:sz w:val="24"/>
              </w:rPr>
              <w:t xml:space="preserve">3.1.4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Средний темп роста суммы налога, подлежащего уплате в связи с применением упрощенной системы налогообложения, на территории муниципального образования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74770" cy="365760"/>
                      <wp:effectExtent l="0" t="0" r="0" b="0"/>
                      <wp:docPr id="9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29">
                                <a:extLst>
                                  <a:ext uri="{96DAC541-7B7A-43D3-8B79-37D633B846F1}">
                                    <asvg:svgBlip xmlns:asvg="http://schemas.microsoft.com/office/drawing/2016/SVG/main" r:embed="rId30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7477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305.10pt;height:28.80pt;mso-wrap-distance-left:0.00pt;mso-wrap-distance-top:0.00pt;mso-wrap-distance-right:0.00pt;mso-wrap-distance-bottom:0.00pt;" stroked="f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314i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сумма налога, подлежащего уплате в связи с применением упрощенной системы налогообложения, на территории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341" w:name="P341"/>
          <w:bookmarkEnd w:id="341"/>
          <w:p>
            <w:pPr>
              <w:pStyle w:val="0"/>
              <w:jc w:val="center"/>
            </w:pPr>
            <w:r>
              <w:rPr>
                <w:sz w:val="24"/>
              </w:rPr>
              <w:t xml:space="preserve">3.1.5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Средний темп роста количества индивидуальных предпринимателей, применяющих патентную систему налогообложения на территории муниципального образования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74770" cy="365760"/>
                      <wp:effectExtent l="0" t="0" r="0" b="0"/>
                      <wp:docPr id="10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31">
                                <a:extLst>
                                  <a:ext uri="{96DAC541-7B7A-43D3-8B79-37D633B846F1}">
                                    <asvg:svgBlip xmlns:asvg="http://schemas.microsoft.com/office/drawing/2016/SVG/main" r:embed="rId32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7477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width:305.10pt;height:28.80pt;mso-wrap-distance-left:0.00pt;mso-wrap-distance-top:0.00pt;mso-wrap-distance-right:0.00pt;mso-wrap-distance-bottom:0.00pt;" stroked="f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315i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количество индивидуальных предпринимателей, применяющих патентную систему налогообложения на территории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352" w:name="P352"/>
          <w:bookmarkEnd w:id="352"/>
          <w:p>
            <w:pPr>
              <w:pStyle w:val="0"/>
              <w:jc w:val="center"/>
            </w:pPr>
            <w:r>
              <w:rPr>
                <w:sz w:val="24"/>
              </w:rPr>
              <w:t xml:space="preserve">3.1.6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Степень внедрения муниципального инвестиционного стандарта, рассчитываемая по формуле (показатель рассчитывается только для практик муниципальных образований I категории):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C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D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E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F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G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H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I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J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2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81120" cy="422910"/>
                      <wp:effectExtent l="0" t="0" r="0" b="0"/>
                      <wp:docPr id="1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33">
                                <a:extLst>
                                  <a:ext uri="{96DAC541-7B7A-43D3-8B79-37D633B846F1}">
                                    <asvg:svgBlip xmlns:asvg="http://schemas.microsoft.com/office/drawing/2016/SVG/main" r:embed="rId34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81120" cy="422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width:305.60pt;height:33.30pt;mso-wrap-distance-left:0.00pt;mso-wrap-distance-top:0.00pt;mso-wrap-distance-right:0.00pt;mso-wrap-distance-bottom:0.00pt;" stroked="f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316i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 xml:space="preserve">_</w:t>
            </w:r>
            <w:r>
              <w:rPr>
                <w:sz w:val="24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наличие на официальном сайте муниципального образования в информационно-телекоммуникационной сети "Интернет" информации по работе с представителями бизнес-сообщества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наличие инвестиционного профиля/паспорта муниципального образования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C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наличие инвестиционного уполномоченного муниципального образования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D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наличие совещательного органа при главе администрации муниципального образования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E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наличие в документе стратегического планирования муниципального образования раздела, содержащего информацию о реализации инвестиционных проектов и создании необходимой для инвесторов инфраструктуры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F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наличие в муниципальном образовании регламента сопровождения инвестиционных проектов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G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наличие утвержденных ключевых показателей эффективности деятельности главы местной администрации и инвестиционного уполномоченного муниципального образования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H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наличие механизма "обратной связи" между инвесторами и администрацией, в том числе ежеквартальные встречи с представителями бизнес-сообщества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I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регулярное прохождение профессиональной переподготовки и повышения квалификации для содействия в реализации инвестиционных проектов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J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наличие соглашения с агентствами развития субъекта Российской Федерации (при положительном ответе - 1, при отрицательном ответе - 0).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378" w:name="P378"/>
          <w:bookmarkEnd w:id="378"/>
          <w:p>
            <w:pPr>
              <w:pStyle w:val="0"/>
              <w:jc w:val="center"/>
            </w:pPr>
            <w:r>
              <w:rPr>
                <w:sz w:val="24"/>
              </w:rPr>
              <w:t xml:space="preserve">3.1.7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Уровень развития муниципально-частного партнерства в муниципальном образовании: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C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D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E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27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731770" cy="502920"/>
                      <wp:effectExtent l="0" t="0" r="0" b="0"/>
                      <wp:docPr id="12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35">
                                <a:extLst>
                                  <a:ext uri="{96DAC541-7B7A-43D3-8B79-37D633B846F1}">
                                    <asvg:svgBlip xmlns:asvg="http://schemas.microsoft.com/office/drawing/2016/SVG/main" r:embed="rId36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31770" cy="502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width:215.10pt;height:39.60pt;mso-wrap-distance-left:0.00pt;mso-wrap-distance-top:0.00pt;mso-wrap-distance-right:0.00pt;mso-wrap-distance-bottom:0.00pt;" stroked="f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317i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наличие в открытом доступе перечня объектов в муниципальном образовании, в отношении которых планируется заключение соглашений муниципально-частного партнерства, концессионных соглашений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наличие льготных условий (налоговые льготы, иные меры поддержки частных партнеров) (при положительном ответе - 1, при отрицательном ответе - 0);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C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стадия реализации проекта муниципально-частного партнерства;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D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доля частных инвестиций в общей стоимости проекта муниципально-частного партнерства в процентах, оценка выставляется путем деления значения в процентах на 100;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E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срок реализации проекта муниципально-частного партнерства (срок действия концессионного соглашения).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9070" w:type="dxa"/>
            <w:gridSpan w:val="4"/>
          </w:tcPr>
          <w:bookmarkStart w:id="394" w:name="P394"/>
          <w:bookmarkEnd w:id="394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Подраздел 3.2. Показатели, характеризующие направление практики "Управление имуществом и инфраструктурой"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(раздел заполняется при выборе направления практики "Управление имуществом и инфраструктурой" в </w:t>
            </w:r>
            <w:hyperlink w:tooltip="2" w:anchor="P75" w:history="0">
              <w:r>
                <w:rPr>
                  <w:color w:val="0000ff"/>
                  <w:sz w:val="24"/>
                </w:rPr>
                <w:t xml:space="preserve">пункте 2</w:t>
              </w:r>
            </w:hyperlink>
            <w:r>
              <w:rPr>
                <w:sz w:val="24"/>
              </w:rPr>
              <w:t xml:space="preserve"> описания практики)</w:t>
            </w:r>
          </w:p>
        </w:tc>
      </w:tr>
      <w:tr>
        <w:tc>
          <w:tcPr>
            <w:tcW w:w="737" w:type="dxa"/>
            <w:vMerge w:val="restart"/>
          </w:tcPr>
          <w:bookmarkStart w:id="396" w:name="P396"/>
          <w:bookmarkEnd w:id="396"/>
          <w:p>
            <w:pPr>
              <w:pStyle w:val="0"/>
              <w:jc w:val="center"/>
            </w:pPr>
            <w:r>
              <w:rPr>
                <w:sz w:val="24"/>
              </w:rPr>
              <w:t xml:space="preserve">3.2.1</w:t>
            </w:r>
          </w:p>
        </w:tc>
        <w:tc>
          <w:tcPr>
            <w:tcW w:w="6236" w:type="dxa"/>
            <w:vMerge w:val="restart"/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Наличие размещенного в Федеральной государственной информационной системе территориального планирования (далее - ФГИС ТП) </w:t>
            </w:r>
            <w:hyperlink w:tooltip="&lt;1&gt; Постановление Правительства Российской Федерации от 12.04.2012 N 289 &quot;О федеральной государственной информационной системе территориального планирования&quot;." w:anchor="P658" w:history="0">
              <w:r>
                <w:rPr>
                  <w:color w:val="0000ff"/>
                  <w:sz w:val="24"/>
                </w:rPr>
                <w:t xml:space="preserve">&lt;1&gt;</w:t>
              </w:r>
            </w:hyperlink>
            <w:r>
              <w:rPr>
                <w:sz w:val="24"/>
              </w:rPr>
              <w:t xml:space="preserve"> документа территориального планирования муниципального образования, соответствующего законодательству о градостроительной деятельности, с учетом периодичности обновления (не реже 1 раза в 5 лет)</w:t>
            </w:r>
          </w:p>
        </w:tc>
        <w:tc>
          <w:tcPr>
            <w:tcW w:w="10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да/нет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Реквизиты нормативного правового акта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Ссылка на ФГИС ТП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  <w:vMerge w:val="restart"/>
          </w:tcPr>
          <w:bookmarkStart w:id="404" w:name="P404"/>
          <w:bookmarkEnd w:id="404"/>
          <w:p>
            <w:pPr>
              <w:pStyle w:val="0"/>
              <w:jc w:val="center"/>
            </w:pPr>
            <w:r>
              <w:rPr>
                <w:sz w:val="24"/>
              </w:rPr>
              <w:t xml:space="preserve">3.2.2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Средний темп роста налоговой базы по налогу на имущество организаций на территории муниципального образования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74770" cy="365760"/>
                      <wp:effectExtent l="0" t="0" r="0" b="0"/>
                      <wp:docPr id="13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37">
                                <a:extLst>
                                  <a:ext uri="{96DAC541-7B7A-43D3-8B79-37D633B846F1}">
                                    <asvg:svgBlip xmlns:asvg="http://schemas.microsoft.com/office/drawing/2016/SVG/main" r:embed="rId38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7477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width:305.10pt;height:28.80pt;mso-wrap-distance-left:0.00pt;mso-wrap-distance-top:0.00pt;mso-wrap-distance-right:0.00pt;mso-wrap-distance-bottom:0.00pt;" stroked="f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322i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 xml:space="preserve">_</w:t>
            </w:r>
            <w:r>
              <w:rPr>
                <w:sz w:val="24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налоговая база по налогу на имущество организаций i-го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415" w:name="P415"/>
          <w:bookmarkEnd w:id="415"/>
          <w:p>
            <w:pPr>
              <w:pStyle w:val="0"/>
              <w:jc w:val="center"/>
            </w:pPr>
            <w:r>
              <w:rPr>
                <w:sz w:val="24"/>
              </w:rPr>
              <w:t xml:space="preserve">3.2.3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Сокращение доли площадей неиспользованного муниципального имущества за отчетный год по сравнению с уровнем года, предшествующего отчетному,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323i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/ A</w:t>
            </w:r>
            <w:r>
              <w:rPr>
                <w:sz w:val="24"/>
                <w:vertAlign w:val="subscript"/>
              </w:rPr>
              <w:t xml:space="preserve">in-1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323i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 xml:space="preserve">_</w:t>
            </w:r>
            <w:r>
              <w:rPr>
                <w:sz w:val="24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- площадь неиспользуемого муниципального имущества за отчетный год;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- площадь неиспользуемого муниципального имущества за год, предшествующий отчетному.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425" w:name="P425"/>
          <w:bookmarkEnd w:id="425"/>
          <w:p>
            <w:pPr>
              <w:pStyle w:val="0"/>
              <w:jc w:val="center"/>
            </w:pPr>
            <w:r>
              <w:rPr>
                <w:sz w:val="24"/>
              </w:rPr>
              <w:t xml:space="preserve">3.2.4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Средний темп роста внебюджетных инвестиций в сфере жилищно-коммунального хозяйства (ЖКХ) (в части сферы ЖКХ применимы </w:t>
            </w:r>
            <w:hyperlink r:id="rId39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разделы D</w:t>
              </w:r>
            </w:hyperlink>
            <w:r>
              <w:rPr>
                <w:sz w:val="24"/>
              </w:rPr>
              <w:t xml:space="preserve"> и </w:t>
            </w:r>
            <w:hyperlink r:id="rId40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E</w:t>
              </w:r>
            </w:hyperlink>
            <w:r>
              <w:rPr>
                <w:sz w:val="24"/>
              </w:rPr>
              <w:t xml:space="preserve"> Общероссийского классификатора видов экономической деятельности (далее - ОКВЭД),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74770" cy="365760"/>
                      <wp:effectExtent l="0" t="0" r="0" b="0"/>
                      <wp:docPr id="14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41">
                                <a:extLst>
                                  <a:ext uri="{96DAC541-7B7A-43D3-8B79-37D633B846F1}">
                                    <asvg:svgBlip xmlns:asvg="http://schemas.microsoft.com/office/drawing/2016/SVG/main" r:embed="rId42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7477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width:305.10pt;height:28.80pt;mso-wrap-distance-left:0.00pt;mso-wrap-distance-top:0.00pt;mso-wrap-distance-right:0.00pt;mso-wrap-distance-bottom:0.00pt;" stroked="f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324i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 xml:space="preserve">_</w:t>
            </w:r>
            <w:r>
              <w:rPr>
                <w:sz w:val="24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суммарный объем инвестиций (за исключением бюджетных средств) по </w:t>
            </w:r>
            <w:hyperlink r:id="rId43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разделам D</w:t>
              </w:r>
            </w:hyperlink>
            <w:r>
              <w:rPr>
                <w:sz w:val="24"/>
              </w:rPr>
              <w:t xml:space="preserve"> и </w:t>
            </w:r>
            <w:hyperlink r:id="rId44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E</w:t>
              </w:r>
            </w:hyperlink>
            <w:r>
              <w:rPr>
                <w:sz w:val="24"/>
              </w:rPr>
              <w:t xml:space="preserve"> ОКВЭД), рассчитываемый по формуле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436" w:name="P436"/>
          <w:bookmarkEnd w:id="436"/>
          <w:p>
            <w:pPr>
              <w:pStyle w:val="0"/>
              <w:jc w:val="center"/>
            </w:pPr>
            <w:r>
              <w:rPr>
                <w:sz w:val="24"/>
              </w:rPr>
              <w:t xml:space="preserve">3.2.5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Доля аварийного муниципального имущества от общей площади муниципального имущества,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325i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325i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 xml:space="preserve">_</w:t>
            </w:r>
            <w:r>
              <w:rPr>
                <w:sz w:val="24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площадь аварийного муниципального имущества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площадь муниципального имущества.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446" w:name="P446"/>
          <w:bookmarkEnd w:id="446"/>
          <w:p>
            <w:pPr>
              <w:pStyle w:val="0"/>
              <w:jc w:val="center"/>
            </w:pPr>
            <w:r>
              <w:rPr>
                <w:sz w:val="24"/>
              </w:rPr>
              <w:t xml:space="preserve">3.2.6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Средний темп роста налоговой базы по земельному налогу на территории муниципального образования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74770" cy="365760"/>
                      <wp:effectExtent l="0" t="0" r="0" b="0"/>
                      <wp:docPr id="15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45">
                                <a:extLst>
                                  <a:ext uri="{96DAC541-7B7A-43D3-8B79-37D633B846F1}">
                                    <asvg:svgBlip xmlns:asvg="http://schemas.microsoft.com/office/drawing/2016/SVG/main" r:embed="rId46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7477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width:305.10pt;height:28.80pt;mso-wrap-distance-left:0.00pt;mso-wrap-distance-top:0.00pt;mso-wrap-distance-right:0.00pt;mso-wrap-distance-bottom:0.00pt;" stroked="f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326i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кадастровая стоимость земельных участков, в отношении которых исчислен земельный налог к уплате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457" w:name="P457"/>
          <w:bookmarkEnd w:id="457"/>
          <w:p>
            <w:pPr>
              <w:pStyle w:val="0"/>
              <w:jc w:val="center"/>
            </w:pPr>
            <w:r>
              <w:rPr>
                <w:sz w:val="24"/>
              </w:rPr>
              <w:t xml:space="preserve">3.2.7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Количество востребованных лучших практик повышения производительности труда в муниципальных организациях сфер культуры, образования, социального обеспечения, спорта и здравоохранения, размещенных на ИТ-платформе управленческих и технологических компетенций (производительность.рф) </w:t>
            </w:r>
            <w:hyperlink w:tooltip="&lt;2&gt; Распоряжение Правительства Российской Федерации от 06.05.2008 N 671-р &quot;Об утверждении Федерального плана статистических работ&quot;." w:anchor="P659" w:history="0">
              <w:r>
                <w:rPr>
                  <w:color w:val="0000ff"/>
                  <w:sz w:val="24"/>
                </w:rPr>
                <w:t xml:space="preserve">&lt;2&gt;</w:t>
              </w:r>
            </w:hyperlink>
            <w:r>
              <w:rPr>
                <w:sz w:val="24"/>
              </w:rPr>
              <w:t xml:space="preserve"> (далее - ИТ-платформа производительность.рф) (предоставляется с 2026 года),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1i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...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ni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3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062990" cy="537210"/>
                      <wp:effectExtent l="0" t="0" r="0" b="0"/>
                      <wp:docPr id="16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47">
                                <a:extLst>
                                  <a:ext uri="{96DAC541-7B7A-43D3-8B79-37D633B846F1}">
                                    <asvg:svgBlip xmlns:asvg="http://schemas.microsoft.com/office/drawing/2016/SVG/main" r:embed="rId48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62990" cy="5372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width:83.70pt;height:42.30pt;mso-wrap-distance-left:0.00pt;mso-wrap-distance-top:0.00pt;mso-wrap-distance-right:0.00pt;mso-wrap-distance-bottom:0.00pt;" stroked="f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327i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 xml:space="preserve">_</w:t>
            </w:r>
            <w:r>
              <w:rPr>
                <w:sz w:val="24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n - общее число практик, размещенных муниципальным образованием на ИТ-платформе производительность.рф;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1i</w:t>
            </w:r>
            <w:r>
              <w:rPr>
                <w:sz w:val="24"/>
              </w:rPr>
              <w:t xml:space="preserve">-A</w:t>
            </w:r>
            <w:r>
              <w:rPr>
                <w:sz w:val="24"/>
                <w:vertAlign w:val="subscript"/>
              </w:rPr>
              <w:t xml:space="preserve">nI</w:t>
            </w:r>
            <w:r>
              <w:rPr>
                <w:sz w:val="24"/>
              </w:rPr>
              <w:t xml:space="preserve"> - число внедрений каждой из размещенных практик в других муниципальных образованиях.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468" w:name="P468"/>
          <w:bookmarkEnd w:id="468"/>
          <w:p>
            <w:pPr>
              <w:pStyle w:val="0"/>
              <w:jc w:val="center"/>
            </w:pPr>
            <w:r>
              <w:rPr>
                <w:sz w:val="24"/>
              </w:rPr>
              <w:t xml:space="preserve">3.2.8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Доля массовых социально значимых государственных и муниципальных услуг, доступных в электронном виде, предоставляемых с использованием Единого портала государственных и муниципальных услуг (функций) </w:t>
            </w:r>
            <w:hyperlink w:tooltip="&lt;3&gt; Положение о федеральной государственной информационной системе &quot;Единый портал государственных и муниципальных услуг (функций), утвержденное постановлением Правительства Российской Федерации от 24.10.2011 N 861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." w:anchor="P660" w:history="0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, в общем количестве таких услуг, предоставляемых в электронном виде,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328i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328i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число массовых социально значимых государственных и муниципальных услуг, доступных в электронном виде;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общее число услуг, предоставляемых в электронном виде.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478" w:name="P478"/>
          <w:bookmarkEnd w:id="478"/>
          <w:p>
            <w:pPr>
              <w:pStyle w:val="0"/>
              <w:jc w:val="center"/>
            </w:pPr>
            <w:r>
              <w:rPr>
                <w:sz w:val="24"/>
              </w:rPr>
              <w:t xml:space="preserve">3.2.9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Доля обращений за получением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(функций) без необходимости личного посещения органов государственной власти, органов местного самоуправления и многофункциональных центров предоставления государственных и муниципальных услуг в общем количестве таких услуг,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329i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329i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 xml:space="preserve">_</w:t>
            </w:r>
            <w:r>
              <w:rPr>
                <w:sz w:val="24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число обращений за получением массовых социально значимых государственных и муниципальных услуг в электронном виде;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суммарное число обращений за получением массовых социально значимых государственных и муниципальных услуг.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</w:tcPr>
          <w:bookmarkStart w:id="488" w:name="P488"/>
          <w:bookmarkEnd w:id="488"/>
          <w:p>
            <w:pPr>
              <w:pStyle w:val="0"/>
              <w:jc w:val="center"/>
            </w:pPr>
            <w:r>
              <w:rPr>
                <w:sz w:val="24"/>
              </w:rPr>
              <w:t xml:space="preserve">3.2.10</w:t>
            </w:r>
          </w:p>
        </w:tc>
        <w:tc>
          <w:tcPr>
            <w:tcW w:w="6236" w:type="dxa"/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Возможность подачи обращения по проблеме на территории муниципального образования в электронном виде с приложением фото и видео (при положительном ответе - 1, при отрицательном ответе - 0).</w:t>
            </w:r>
          </w:p>
        </w:tc>
        <w:tc>
          <w:tcPr>
            <w:tcW w:w="10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да/нет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</w:tcPr>
          <w:bookmarkStart w:id="492" w:name="P492"/>
          <w:bookmarkEnd w:id="492"/>
          <w:p>
            <w:pPr>
              <w:pStyle w:val="0"/>
              <w:jc w:val="center"/>
            </w:pPr>
            <w:r>
              <w:rPr>
                <w:sz w:val="24"/>
              </w:rPr>
              <w:t xml:space="preserve">3.2.11</w:t>
            </w:r>
          </w:p>
        </w:tc>
        <w:tc>
          <w:tcPr>
            <w:tcW w:w="6236" w:type="dxa"/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Наличие функционирующей базы знаний решений управленческих и рабочих задач в администрации муниципального образования (при положительном ответе - 1, при отрицательном ответе - 0).</w:t>
            </w:r>
          </w:p>
        </w:tc>
        <w:tc>
          <w:tcPr>
            <w:tcW w:w="10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да/нет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</w:tcPr>
          <w:bookmarkStart w:id="496" w:name="P496"/>
          <w:bookmarkEnd w:id="496"/>
          <w:p>
            <w:pPr>
              <w:pStyle w:val="0"/>
              <w:jc w:val="center"/>
            </w:pPr>
            <w:r>
              <w:rPr>
                <w:sz w:val="24"/>
              </w:rPr>
              <w:t xml:space="preserve">3.2.12</w:t>
            </w:r>
          </w:p>
        </w:tc>
        <w:tc>
          <w:tcPr>
            <w:tcW w:w="6236" w:type="dxa"/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Наличие в администрации муниципального образования электронной среды взаимодействия, выполняющей один из следующих функционалов: организационное проектирование, планирование и контроль задач, внутренняя коммуникация, совместная работа над документами, справочник организационных документов (при положительном ответе - 1, при отрицательном ответе - 0).</w:t>
            </w:r>
          </w:p>
        </w:tc>
        <w:tc>
          <w:tcPr>
            <w:tcW w:w="10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да/нет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0" w:type="dxa"/>
            <w:gridSpan w:val="4"/>
          </w:tcPr>
          <w:bookmarkStart w:id="500" w:name="P500"/>
          <w:bookmarkEnd w:id="500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Подраздел 3.3. Показатели, характеризующие направление практики "Новые источники доходов бюджета и управление муниципальными заимствованиями"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(раздел заполняется при выборе направления практики "Новые источники доходов бюджета и управление муниципальными заимствованиями" в </w:t>
            </w:r>
            <w:hyperlink w:tooltip="2" w:anchor="P75" w:history="0">
              <w:r>
                <w:rPr>
                  <w:color w:val="0000ff"/>
                  <w:sz w:val="24"/>
                </w:rPr>
                <w:t xml:space="preserve">пункте 2</w:t>
              </w:r>
            </w:hyperlink>
            <w:r>
              <w:rPr>
                <w:sz w:val="24"/>
              </w:rPr>
              <w:t xml:space="preserve"> описания практики)</w:t>
            </w:r>
          </w:p>
        </w:tc>
      </w:tr>
      <w:tr>
        <w:tc>
          <w:tcPr>
            <w:tcW w:w="737" w:type="dxa"/>
            <w:vMerge w:val="restart"/>
          </w:tcPr>
          <w:bookmarkStart w:id="502" w:name="P502"/>
          <w:bookmarkEnd w:id="502"/>
          <w:p>
            <w:pPr>
              <w:pStyle w:val="0"/>
              <w:jc w:val="center"/>
            </w:pPr>
            <w:r>
              <w:rPr>
                <w:sz w:val="24"/>
              </w:rPr>
              <w:t xml:space="preserve">3.3.1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Доля средств самообложения граждан и (или) инициативного бюджетирования в объеме собственных доходов местного бюджета,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331i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331i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объем средств самообложения граждан и (или) инициативного бюджетирования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объем собственных доходов местного бюджета i-го муниципального образования в отчетном финансовом году.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512" w:name="P512"/>
          <w:bookmarkEnd w:id="512"/>
          <w:p>
            <w:pPr>
              <w:pStyle w:val="0"/>
              <w:jc w:val="center"/>
            </w:pPr>
            <w:r>
              <w:rPr>
                <w:sz w:val="24"/>
              </w:rPr>
              <w:t xml:space="preserve">3.3.2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Отношение объема выплат по муниципальным гарантиям к общему объему предоставленных муниципальным образованием гарантий,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332i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332i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 xml:space="preserve">_</w:t>
            </w:r>
            <w:r>
              <w:rPr>
                <w:sz w:val="24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объем выплат по муниципальным гарантиям i-го муниципального образования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объем муниципального долга по предоставленным i-м муниципальным образованием гарантиям на 1 января отчетного финансового года.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</w:tcPr>
          <w:bookmarkStart w:id="522" w:name="P522"/>
          <w:bookmarkEnd w:id="522"/>
          <w:p>
            <w:pPr>
              <w:pStyle w:val="0"/>
              <w:jc w:val="center"/>
            </w:pPr>
            <w:r>
              <w:rPr>
                <w:sz w:val="24"/>
              </w:rPr>
              <w:t xml:space="preserve">3.3.3</w:t>
            </w:r>
          </w:p>
        </w:tc>
        <w:tc>
          <w:tcPr>
            <w:tcW w:w="6236" w:type="dxa"/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Объем просроченной задолженности по долговым обязательствам муниципального образования, тыс. руб. (при наличии просроченной задолженности по долговым обязательствам муниципального образования, с указанием источника информации)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  <w:vMerge w:val="restart"/>
          </w:tcPr>
          <w:bookmarkStart w:id="526" w:name="P526"/>
          <w:bookmarkEnd w:id="526"/>
          <w:p>
            <w:pPr>
              <w:pStyle w:val="0"/>
              <w:jc w:val="center"/>
            </w:pPr>
            <w:r>
              <w:rPr>
                <w:sz w:val="24"/>
              </w:rPr>
              <w:t xml:space="preserve">3.3.4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Средний темп роста неналоговых доходов бюджета муниципального образования за три последних отчетных финансовых года,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74770" cy="365760"/>
                      <wp:effectExtent l="0" t="0" r="0" b="0"/>
                      <wp:docPr id="17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49">
                                <a:extLst>
                                  <a:ext uri="{96DAC541-7B7A-43D3-8B79-37D633B846F1}">
                                    <asvg:svgBlip xmlns:asvg="http://schemas.microsoft.com/office/drawing/2016/SVG/main" r:embed="rId50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7477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width:305.10pt;height:28.80pt;mso-wrap-distance-left:0.00pt;mso-wrap-distance-top:0.00pt;mso-wrap-distance-right:0.00pt;mso-wrap-distance-bottom:0.00pt;" stroked="f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334i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, 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объем неналоговых доходов бюджета i-го муниципального образования, поступивших в бюджет муниципального образования соответственно в ____ г., ____ г., ____ г. и ____ г.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537" w:name="P537"/>
          <w:bookmarkEnd w:id="537"/>
          <w:p>
            <w:pPr>
              <w:pStyle w:val="0"/>
              <w:jc w:val="center"/>
            </w:pPr>
            <w:r>
              <w:rPr>
                <w:sz w:val="24"/>
              </w:rPr>
              <w:t xml:space="preserve">3.3.5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Эффективность управления финансовыми вложениями, осуществляемыми за счет средств местного бюджета,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335i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335i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доходы в виде прибыли, приходящейся на доли в уставных (складочных) капиталах хозяйственных товариществ и обществ или дивидендов по акциям, принадлежащим i-му муниципальному образованию,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балансовая стоимость акций, находящихся в собственности i-го муниципального образования, и иных форм участия в капитале хозяйственных товариществ и обществ на начало отчетного финансового года.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547" w:name="P547"/>
          <w:bookmarkEnd w:id="547"/>
          <w:p>
            <w:pPr>
              <w:pStyle w:val="0"/>
              <w:jc w:val="center"/>
            </w:pPr>
            <w:r>
              <w:rPr>
                <w:sz w:val="24"/>
              </w:rPr>
              <w:t xml:space="preserve">3.3.6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Отношение муниципальных заимствований,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привлеченных в целях финансирования инвестиционных расходов, к общему объему привлеченных муниципальных заимствований,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336i</w:t>
            </w:r>
            <w:r>
              <w:rPr>
                <w:sz w:val="24"/>
              </w:rPr>
              <w:t xml:space="preserve"> = 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336i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 xml:space="preserve">_</w:t>
            </w:r>
            <w:r>
              <w:rPr>
                <w:sz w:val="24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объем в отчетном финансовом году муниципальных заимствований, привлеченных в целях финансирования инвестиционных расходов, i-го муниципального образования;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объем привлеченных в отчетном финансовом году муниципальных заимствований i-го муниципального образования.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558" w:name="P558"/>
          <w:bookmarkEnd w:id="558"/>
          <w:p>
            <w:pPr>
              <w:pStyle w:val="0"/>
              <w:jc w:val="center"/>
            </w:pPr>
            <w:r>
              <w:rPr>
                <w:sz w:val="24"/>
              </w:rPr>
              <w:t xml:space="preserve">3.3.7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Отношение поступивших доходов бюджета муниципального образования без учета безвозмездных поступлений от бюджетов бюджетной системы Российской Федерации к объему доходов, первоначально утвержденному решением о местном бюджете,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337i</w:t>
            </w:r>
            <w:r>
              <w:rPr>
                <w:sz w:val="24"/>
              </w:rPr>
              <w:t xml:space="preserve"> = |A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| / 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337i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объем доходов, поступивших в бюджет i-го муниципального образования без учета безвозмездных поступлений от бюджетов бюджетной системы Российской Федерации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первоначально утвержденный решением о бюджете i-го муниципального образования объем доходов местного бюджета на отчетный финансовый год без учета безвозмездных поступлений от бюджетов бюджетной системы Российской Федерации.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568" w:name="P568"/>
          <w:bookmarkEnd w:id="568"/>
          <w:p>
            <w:pPr>
              <w:pStyle w:val="0"/>
              <w:jc w:val="center"/>
            </w:pPr>
            <w:r>
              <w:rPr>
                <w:sz w:val="24"/>
              </w:rPr>
              <w:t xml:space="preserve">3.3.8</w:t>
            </w:r>
          </w:p>
        </w:tc>
        <w:tc>
          <w:tcPr>
            <w:tcW w:w="6236" w:type="dxa"/>
            <w:vMerge w:val="restart"/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Наличие акта муниципального образования об установлении и введении в действие туристического налога на текущий финансовый год (при положительном ответе - 1, при отрицательном ответе - 0).</w:t>
            </w:r>
          </w:p>
        </w:tc>
        <w:tc>
          <w:tcPr>
            <w:tcW w:w="10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да/нет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2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Реквизиты акта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  <w:vMerge w:val="restart"/>
          </w:tcPr>
          <w:bookmarkStart w:id="574" w:name="P574"/>
          <w:bookmarkEnd w:id="574"/>
          <w:p>
            <w:pPr>
              <w:pStyle w:val="0"/>
              <w:jc w:val="center"/>
            </w:pPr>
            <w:r>
              <w:rPr>
                <w:sz w:val="24"/>
              </w:rPr>
              <w:t xml:space="preserve">3.3.9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Равномерность распределения расходов на погашение муниципального долга за последние три года,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maxi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mini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si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339i</w:t>
            </w:r>
            <w:r>
              <w:rPr>
                <w:sz w:val="24"/>
              </w:rPr>
              <w:t xml:space="preserve"> = (A</w:t>
            </w:r>
            <w:r>
              <w:rPr>
                <w:sz w:val="24"/>
                <w:vertAlign w:val="subscript"/>
              </w:rPr>
              <w:t xml:space="preserve">maxi</w:t>
            </w:r>
            <w:r>
              <w:rPr>
                <w:sz w:val="24"/>
              </w:rPr>
              <w:t xml:space="preserve"> - A</w:t>
            </w:r>
            <w:r>
              <w:rPr>
                <w:sz w:val="24"/>
                <w:vertAlign w:val="subscript"/>
              </w:rPr>
              <w:t xml:space="preserve">mini</w:t>
            </w:r>
            <w:r>
              <w:rPr>
                <w:sz w:val="24"/>
              </w:rPr>
              <w:t xml:space="preserve">) / A</w:t>
            </w:r>
            <w:r>
              <w:rPr>
                <w:sz w:val="24"/>
                <w:vertAlign w:val="subscript"/>
              </w:rPr>
              <w:t xml:space="preserve">si</w:t>
            </w:r>
            <w:r>
              <w:rPr>
                <w:sz w:val="24"/>
              </w:rPr>
              <w:t xml:space="preserve">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339i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 xml:space="preserve">_</w:t>
            </w:r>
            <w:r>
              <w:rPr>
                <w:sz w:val="24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maxi</w:t>
            </w:r>
            <w:r>
              <w:rPr>
                <w:sz w:val="24"/>
              </w:rPr>
              <w:t xml:space="preserve"> - максимальный годовой объем погашения муниципального долга i-го муниципального образования за три последних отчетных финансовых года;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mini</w:t>
            </w:r>
            <w:r>
              <w:rPr>
                <w:sz w:val="24"/>
              </w:rPr>
              <w:t xml:space="preserve"> - минимальный годовой объем погашения муниципального долга i-го муниципального образования за три последних отчетных финансовых года;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si</w:t>
            </w:r>
            <w:r>
              <w:rPr>
                <w:sz w:val="24"/>
              </w:rPr>
              <w:t xml:space="preserve"> - средний годовой объем погашения муниципального долга i-го муниципального образования за три последних отчетных финансовых года.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586" w:name="P586"/>
          <w:bookmarkEnd w:id="586"/>
          <w:p>
            <w:pPr>
              <w:pStyle w:val="0"/>
              <w:jc w:val="center"/>
            </w:pPr>
            <w:r>
              <w:rPr>
                <w:sz w:val="24"/>
              </w:rPr>
              <w:t xml:space="preserve">3.3.10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Доля поступлений от уплаты местных налогов в объеме налоговых доходов местного бюджета за отчетный финансовый год,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3310i</w:t>
            </w:r>
            <w:r>
              <w:rPr>
                <w:sz w:val="24"/>
              </w:rPr>
              <w:t xml:space="preserve"> = Ai / Bi,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3310i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объем поступлений от уплаты местных налогов в бюджет i-го муниципального образования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- объем налоговых доходов местного бюджета i-го муниципального образования в отчетном финансовом году.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596" w:name="P596"/>
          <w:bookmarkEnd w:id="596"/>
          <w:p>
            <w:pPr>
              <w:pStyle w:val="0"/>
              <w:jc w:val="center"/>
            </w:pPr>
            <w:r>
              <w:rPr>
                <w:sz w:val="24"/>
              </w:rPr>
              <w:t xml:space="preserve">3.3.11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Прирост объема доходов автономных и бюджетных учреждений от приносящей доход деятельности, рассчитываемый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3311i</w:t>
            </w:r>
            <w:r>
              <w:rPr>
                <w:sz w:val="24"/>
              </w:rPr>
              <w:t xml:space="preserve"> = Ai / Bi,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3311i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 xml:space="preserve">_</w:t>
            </w:r>
            <w:r>
              <w:rPr>
                <w:sz w:val="24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Ai - объем доходов автономных и бюджетных учреждений от приносящей доход деятельности i-го муниципального образования в отчетном финансовом году;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Bi - объем доходов автономных и бюджетных учреждений от приносящей доход деятельности i-го муниципального образования в году, предшествующем отчетному финансовому году.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606" w:name="P606"/>
          <w:bookmarkEnd w:id="606"/>
          <w:p>
            <w:pPr>
              <w:pStyle w:val="0"/>
              <w:jc w:val="center"/>
            </w:pPr>
            <w:r>
              <w:rPr>
                <w:sz w:val="24"/>
              </w:rPr>
              <w:t xml:space="preserve">3.3.12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Соотношение недоимки по местным налогам на начало текущего финансового года и недоимки по местным налогам на начало отчетного финансового года,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3312i</w:t>
            </w:r>
            <w:r>
              <w:rPr>
                <w:sz w:val="24"/>
              </w:rPr>
              <w:t xml:space="preserve"> = Ai / Bi,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3312i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 xml:space="preserve">_</w:t>
            </w:r>
            <w:r>
              <w:rPr>
                <w:sz w:val="24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Ai - объем недоимки по местным налогам i-го муниципального образования на начало текущего финансового года;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Bi - объем недоимки по местным налогам i-го муниципального образования на начало отчетного финансового года.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616" w:name="P616"/>
          <w:bookmarkEnd w:id="616"/>
          <w:p>
            <w:pPr>
              <w:pStyle w:val="0"/>
              <w:jc w:val="center"/>
            </w:pPr>
            <w:r>
              <w:rPr>
                <w:sz w:val="24"/>
              </w:rPr>
              <w:t xml:space="preserve">3.3.13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Соотношение недоимки по местным налогам на начало текущего финансового года к поступлениям по местным налогам на начало текущего финансового года, рассчитываемое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3313i</w:t>
            </w:r>
            <w:r>
              <w:rPr>
                <w:sz w:val="24"/>
              </w:rPr>
              <w:t xml:space="preserve"> = Ai / Bi,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3313i</w:t>
            </w:r>
            <w:r>
              <w:rPr>
                <w:sz w:val="24"/>
              </w:rPr>
              <w:t xml:space="preserve"> -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Ai - недоимка по местным налогам на начало текущего финансового года;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Bi - сумма поступления по местным налогам на начало текущего финансового года.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737" w:type="dxa"/>
            <w:vMerge w:val="restart"/>
          </w:tcPr>
          <w:bookmarkStart w:id="626" w:name="P626"/>
          <w:bookmarkEnd w:id="626"/>
          <w:p>
            <w:pPr>
              <w:pStyle w:val="0"/>
              <w:jc w:val="center"/>
            </w:pPr>
            <w:r>
              <w:rPr>
                <w:sz w:val="24"/>
              </w:rPr>
              <w:t xml:space="preserve">3.3.14</w:t>
            </w:r>
          </w:p>
        </w:tc>
        <w:tc>
          <w:tcPr>
            <w:tcW w:w="6236" w:type="dxa"/>
            <w:tcBorders>
              <w:bottom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Доля налогоплательщиков, зарегистрированных на территории муниципального образования, имеющих задолженность по местным налогам, в общем количестве налогоплательщиков, зарегистрированных на территории муниципального образования, рассчитываемая по формуле: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</w:t>
            </w:r>
            <w:r>
              <w:rPr>
                <w:sz w:val="24"/>
              </w:rPr>
              <w:t xml:space="preserve"> =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  <w:bottom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3314i</w:t>
            </w:r>
            <w:r>
              <w:rPr>
                <w:sz w:val="24"/>
              </w:rPr>
              <w:t xml:space="preserve"> = Ai / Bi,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tcW w:w="6236" w:type="dxa"/>
            <w:tcBorders>
              <w:top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U</w:t>
            </w:r>
            <w:r>
              <w:rPr>
                <w:sz w:val="24"/>
                <w:vertAlign w:val="subscript"/>
              </w:rPr>
              <w:t xml:space="preserve">3314i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 xml:space="preserve">_</w:t>
            </w:r>
            <w:r>
              <w:rPr>
                <w:sz w:val="24"/>
              </w:rPr>
              <w:t xml:space="preserve"> значение соответствующего показателя в i-м муниципальном образовании;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Ai - количество налогоплательщиков, зарегистрированных на территории муниципального образования, имеющих задолженность по местным налогам i-го муниципального образования на начало текущего финансового года;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Bi - общее количество налогоплательщиков по местным налогам, зарегистрированных на территории муниципального образования i-го муниципального образования на начало текущего финансового года.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Приложение: на ___ л.</w:t>
      </w:r>
    </w:p>
    <w:p>
      <w:pPr>
        <w:pStyle w:val="1"/>
        <w:jc w:val="both"/>
      </w:pPr>
      <w:r>
        <w:rPr>
          <w:sz w:val="20"/>
        </w:rPr>
        <w:t xml:space="preserve">Достоверность   представленной   в  составе  конкурсной  заявки  информации</w:t>
      </w:r>
    </w:p>
    <w:p>
      <w:pPr>
        <w:pStyle w:val="1"/>
        <w:jc w:val="both"/>
      </w:pPr>
      <w:r>
        <w:rPr>
          <w:sz w:val="20"/>
        </w:rPr>
        <w:t xml:space="preserve">подтверждаю.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Глава муниципального образования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(подпись и 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СОГЛАСОВАНО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(наименование должности визирующего должностного лица,</w:t>
      </w:r>
    </w:p>
    <w:p>
      <w:pPr>
        <w:pStyle w:val="1"/>
        <w:jc w:val="both"/>
      </w:pPr>
      <w:r>
        <w:rPr>
          <w:sz w:val="20"/>
        </w:rPr>
        <w:t xml:space="preserve">              ответственного в субъекте Российской Федерации</w:t>
      </w:r>
    </w:p>
    <w:p>
      <w:pPr>
        <w:pStyle w:val="1"/>
        <w:jc w:val="both"/>
      </w:pPr>
      <w:r>
        <w:rPr>
          <w:sz w:val="20"/>
        </w:rPr>
        <w:t xml:space="preserve">          за предоставление конкурсной заявки на федеральный этап</w:t>
      </w:r>
    </w:p>
    <w:p>
      <w:pPr>
        <w:pStyle w:val="1"/>
        <w:jc w:val="both"/>
      </w:pPr>
      <w:r>
        <w:rPr>
          <w:sz w:val="20"/>
        </w:rPr>
        <w:t xml:space="preserve">              конкурса и за финансовое направление в субъекте</w:t>
      </w:r>
    </w:p>
    <w:p>
      <w:pPr>
        <w:pStyle w:val="1"/>
        <w:jc w:val="both"/>
      </w:pPr>
      <w:r>
        <w:rPr>
          <w:sz w:val="20"/>
        </w:rPr>
        <w:t xml:space="preserve">                           Российской Федерации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(подпись и расшифровка подписи)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658" w:name="P658"/>
    <w:bookmarkEnd w:id="658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&lt;1&gt; </w:t>
      </w:r>
      <w:hyperlink r:id="rId51" w:tooltip="Постановление Правительства РФ от 12.04.2012 N 289 (ред. от 01.03.2024) &quot;О федеральной государственной информационной системе территориального планирования&quot; (вместе с &quot;Правилами ведения федеральной государственной информационной системы территориального планирования&quot;) {КонсультантПлюс}" w:history="0">
        <w:r>
          <w:rPr>
            <w:color w:val="0000ff"/>
            <w:sz w:val="24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12.04.2012 N 289 "О федеральной государственной информационной системе территориального планирования".</w:t>
      </w:r>
    </w:p>
    <w:bookmarkStart w:id="659" w:name="P659"/>
    <w:bookmarkEnd w:id="659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&lt;2&gt; </w:t>
      </w:r>
      <w:hyperlink r:id="rId52" w:tooltip="Распоряжение Правительства РФ от 06.05.2008 N 671-р (ред. от 16.04.2026) &lt;Об утверждении Федерального плана статистических работ&gt; (вместе с &quot;Федеральным планом статистических работ&quot;) {КонсультантПлюс}" w:history="0">
        <w:r>
          <w:rPr>
            <w:color w:val="0000ff"/>
            <w:sz w:val="24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06.05.2008 N 671-р "Об утверждении Федерального плана статистических работ".</w:t>
      </w:r>
    </w:p>
    <w:bookmarkStart w:id="660" w:name="P660"/>
    <w:bookmarkEnd w:id="660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&lt;3&gt; </w:t>
      </w:r>
      <w:hyperlink r:id="rId53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 w:history="0">
        <w:r>
          <w:rPr>
            <w:color w:val="0000ff"/>
            <w:sz w:val="24"/>
          </w:rPr>
          <w:t xml:space="preserve">Положение</w:t>
        </w:r>
      </w:hyperlink>
      <w:r>
        <w:rPr>
          <w:sz w:val="24"/>
        </w:rPr>
        <w:t xml:space="preserve"> о федеральной государственной информационной системе "Единый портал государственных и муниципальных услуг (функций), утвержденное постановлением Правительства Российской Федерации от 24.10.2011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Минэкономразвития России</w:t>
      </w:r>
    </w:p>
    <w:p>
      <w:pPr>
        <w:pStyle w:val="0"/>
        <w:jc w:val="right"/>
      </w:pPr>
      <w:r>
        <w:rPr>
          <w:sz w:val="24"/>
        </w:rPr>
        <w:t xml:space="preserve">от 26.06.2025 N 424</w:t>
      </w:r>
    </w:p>
    <w:p>
      <w:pPr>
        <w:pStyle w:val="0"/>
        <w:jc w:val="both"/>
      </w:pPr>
      <w:r>
        <w:rPr>
          <w:sz w:val="24"/>
        </w:rPr>
      </w:r>
    </w:p>
    <w:bookmarkStart w:id="670" w:name="P670"/>
    <w:bookmarkEnd w:id="670"/>
    <w:p>
      <w:pPr>
        <w:pStyle w:val="2"/>
        <w:jc w:val="center"/>
      </w:pPr>
      <w:r>
        <w:rPr>
          <w:sz w:val="24"/>
        </w:rPr>
        <w:t xml:space="preserve">МЕТОДИКА</w:t>
      </w:r>
    </w:p>
    <w:p>
      <w:pPr>
        <w:pStyle w:val="2"/>
        <w:jc w:val="center"/>
      </w:pPr>
      <w:r>
        <w:rPr>
          <w:sz w:val="24"/>
        </w:rPr>
        <w:t xml:space="preserve">ОЦЕНКИ КОНКУРСНЫХ ЗАЯВОК МУНИЦИПАЛЬНЫХ ОБРАЗОВАНИЙ,</w:t>
      </w:r>
    </w:p>
    <w:p>
      <w:pPr>
        <w:pStyle w:val="2"/>
        <w:jc w:val="center"/>
      </w:pPr>
      <w:r>
        <w:rPr>
          <w:sz w:val="24"/>
        </w:rPr>
        <w:t xml:space="preserve">ПРЕДСТАВЛЯЕМЫХ ДЛЯ УЧАСТИЯ ВО ВСЕРОССИЙСКОМ КОНКУРСЕ</w:t>
      </w:r>
    </w:p>
    <w:p>
      <w:pPr>
        <w:pStyle w:val="2"/>
        <w:jc w:val="center"/>
      </w:pPr>
      <w:r>
        <w:rPr>
          <w:sz w:val="24"/>
        </w:rPr>
        <w:t xml:space="preserve">"ЛУЧШАЯ МУНИЦИПАЛЬНАЯ ПРАКТИКА" ПО НОМИНАЦИИ "ПОВЫШЕНИЕ</w:t>
      </w:r>
    </w:p>
    <w:p>
      <w:pPr>
        <w:pStyle w:val="2"/>
        <w:jc w:val="center"/>
      </w:pPr>
      <w:r>
        <w:rPr>
          <w:sz w:val="24"/>
        </w:rPr>
        <w:t xml:space="preserve">ЭФФЕКТИВНОСТИ УПРАВЛЕНИЯ ТЕРРИТОРИЕЙ</w:t>
      </w:r>
    </w:p>
    <w:p>
      <w:pPr>
        <w:pStyle w:val="2"/>
        <w:jc w:val="center"/>
      </w:pPr>
      <w:r>
        <w:rPr>
          <w:sz w:val="24"/>
        </w:rPr>
        <w:t xml:space="preserve">МУНИЦИПАЛЬНОГО ОБРАЗОВАНИЯ"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Оценка конкурсных заявок муниципальных образований, представляемых для участия во Всероссийском конкурсе "Лучшая муниципальная практика" по номинации "Повышение эффективности управления территорией муниципального образования" (далее - конкурсные заявки) осуществляется по каждой из категорий участников конкурса, указанных в </w:t>
      </w:r>
      <w:hyperlink r:id="rId54" w:tooltip="Постановление Правительства РФ от 18.08.2016 N 815 (ред. от 14.05.2025) &quot;О Всероссийском конкурсе &quot;Лучшая муниципальная практика&quot; (вместе с &quot;Положением о Всероссийском конкурсе &quot;Лучшая муниципальная практика&quot;) {КонсультантПлюс}" w:history="0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Положения о Всероссийском конкурсе "Лучшая муниципальная практика", утвержденного постановлением Правительства Российской Федерации от 18 августа 2016 г. N 815 "О Всероссийском конкурсе "Лучшая муниципальная практика" (далее - конкурс), в целях выявления и отбора примеров лучшей муниципальной практики на региональном и федеральном этапах конкурса путем присвоения количества баллов согласно настоящей Методике.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Оценка конкурсных заявок на федеральном этапе осуществляется по трем разделам показателей, характеризующих деятельность органа местного самоуправления, приведенных в </w:t>
      </w:r>
      <w:hyperlink w:tooltip="                             КОНКУРСНАЯ ЗАЯВКА" w:anchor="P38" w:history="0">
        <w:r>
          <w:rPr>
            <w:color w:val="0000ff"/>
            <w:sz w:val="24"/>
          </w:rPr>
          <w:t xml:space="preserve">приложении N 1</w:t>
        </w:r>
      </w:hyperlink>
      <w:r>
        <w:rPr>
          <w:sz w:val="24"/>
        </w:rPr>
        <w:t xml:space="preserve"> к настоящему Приказу (далее - показатели, характеризующие деятельность органа местного самоуправления), из которых: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итоговая оценка формируется Минэкономразвития России по </w:t>
      </w:r>
      <w:hyperlink w:tooltip="Раздел 1. Показатели, характеризующие социально-экономическую ситуацию в муниципальном образовании" w:anchor="P97" w:history="0">
        <w:r>
          <w:rPr>
            <w:color w:val="0000ff"/>
            <w:sz w:val="24"/>
          </w:rPr>
          <w:t xml:space="preserve">разделу 1</w:t>
        </w:r>
      </w:hyperlink>
      <w:r>
        <w:rPr>
          <w:sz w:val="24"/>
        </w:rPr>
        <w:t xml:space="preserve"> "Показатели, характеризующие социально-экономическую ситуацию в муниципальном образовании" (далее - раздел 1), </w:t>
      </w:r>
      <w:hyperlink w:tooltip="Подраздел 3.1. Показатели, характеризующие направление практики &quot;Инвестиции&quot;" w:anchor="P296" w:history="0">
        <w:r>
          <w:rPr>
            <w:color w:val="0000ff"/>
            <w:sz w:val="24"/>
          </w:rPr>
          <w:t xml:space="preserve">подразделу 3.1</w:t>
        </w:r>
      </w:hyperlink>
      <w:r>
        <w:rPr>
          <w:sz w:val="24"/>
        </w:rPr>
        <w:t xml:space="preserve"> "Показатели, характеризующие направление практики "Инвестиции" раздела 3 "Показатели, характеризующие выбранное направление практики" (далее - подраздел 3.1 и раздел 3 соответственно) и </w:t>
      </w:r>
      <w:hyperlink w:tooltip="Подраздел 3.2. Показатели, характеризующие направление практики &quot;Управление имуществом и инфраструктурой&quot;" w:anchor="P394" w:history="0">
        <w:r>
          <w:rPr>
            <w:color w:val="0000ff"/>
            <w:sz w:val="24"/>
          </w:rPr>
          <w:t xml:space="preserve">подразделу 3.2</w:t>
        </w:r>
      </w:hyperlink>
      <w:r>
        <w:rPr>
          <w:sz w:val="24"/>
        </w:rPr>
        <w:t xml:space="preserve"> "Управление имуществом и инфраструктурой" раздела 3 (далее - подраздел 3.2) показателей, характеризующих деятельность органа местного самоуправления;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итоговая оценка формируется Минфином России по </w:t>
      </w:r>
      <w:hyperlink w:tooltip="Раздел 2. Показатели, характеризующие управление муниципальными финансами" w:anchor="P193" w:history="0">
        <w:r>
          <w:rPr>
            <w:color w:val="0000ff"/>
            <w:sz w:val="24"/>
          </w:rPr>
          <w:t xml:space="preserve">разделу 2</w:t>
        </w:r>
      </w:hyperlink>
      <w:r>
        <w:rPr>
          <w:sz w:val="24"/>
        </w:rPr>
        <w:t xml:space="preserve"> "Показатели, характеризующие управление муниципальными финансами" (далее - раздел 2) и </w:t>
      </w:r>
      <w:hyperlink w:tooltip="Подраздел 3.3. Показатели, характеризующие направление практики &quot;Новые источники доходов бюджета и управление муниципальными заимствованиями&quot;" w:anchor="P500" w:history="0">
        <w:r>
          <w:rPr>
            <w:color w:val="0000ff"/>
            <w:sz w:val="24"/>
          </w:rPr>
          <w:t xml:space="preserve">подразделу 3.3</w:t>
        </w:r>
      </w:hyperlink>
      <w:r>
        <w:rPr>
          <w:sz w:val="24"/>
        </w:rPr>
        <w:t xml:space="preserve"> "Показатели, характеризующие направление практики "Новые источники доходов бюджета и управление муниципальными заимствованиями" (далее - подраздел 3.3) раздела 3 показателей, характеризующих деятельность органа местного самоуправления, и направляется в Минэкономразвития России.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Оценка конкурсных заявок на региональном этапе конкурса рассчитывается исполнительным органом субъекта Российской Федерации, организационным комитетом или иным коллегиальным органом, образованным для проведения регионального этапа конкурса в соответствующем субъекте Российской Федерации по формулам, предусмотренным </w:t>
      </w:r>
      <w:hyperlink w:tooltip="4. Индексы определяются с учетом следующего:" w:anchor="P683" w:history="0">
        <w:r>
          <w:rPr>
            <w:color w:val="0000ff"/>
            <w:sz w:val="24"/>
          </w:rPr>
          <w:t xml:space="preserve">пунктами 4</w:t>
        </w:r>
      </w:hyperlink>
      <w:r>
        <w:rPr>
          <w:sz w:val="24"/>
        </w:rPr>
        <w:t xml:space="preserve">, </w:t>
      </w:r>
      <w:hyperlink w:tooltip="5. Итоговая сумма баллов конкурсной заявки (Крегi) определяется по следующей формуле:" w:anchor="P702" w:history="0">
        <w:r>
          <w:rPr>
            <w:color w:val="0000ff"/>
            <w:sz w:val="24"/>
          </w:rPr>
          <w:t xml:space="preserve">5</w:t>
        </w:r>
      </w:hyperlink>
      <w:r>
        <w:rPr>
          <w:sz w:val="24"/>
        </w:rPr>
        <w:t xml:space="preserve">, </w:t>
      </w:r>
      <w:hyperlink w:tooltip="6. Итоговая сумма коэффициентов по разделу 1 показателей, характеризующих деятельность органа местного самоуправления (К1i), рассчитывается по формуле:" w:anchor="P711" w:history="0">
        <w:r>
          <w:rPr>
            <w:color w:val="0000ff"/>
            <w:sz w:val="24"/>
          </w:rPr>
          <w:t xml:space="preserve">6</w:t>
        </w:r>
      </w:hyperlink>
      <w:r>
        <w:rPr>
          <w:sz w:val="24"/>
        </w:rPr>
        <w:t xml:space="preserve">, </w:t>
      </w:r>
      <w:hyperlink w:tooltip="7. Итоговая сумма коэффициентов по разделу 2 показателей, характеризующих деятельность органа местного самоуправления (К2i), рассчитывается по формуле:" w:anchor="P717" w:history="0">
        <w:r>
          <w:rPr>
            <w:color w:val="0000ff"/>
            <w:sz w:val="24"/>
          </w:rPr>
          <w:t xml:space="preserve">7</w:t>
        </w:r>
      </w:hyperlink>
      <w:r>
        <w:rPr>
          <w:sz w:val="24"/>
        </w:rPr>
        <w:t xml:space="preserve">, </w:t>
      </w:r>
      <w:hyperlink w:tooltip="8. Итоговая сумма коэффициентов по разделу 3 показателей, характеризующих деятельность органа местного самоуправления (К3), рассчитывается по формуле:" w:anchor="P723" w:history="0">
        <w:r>
          <w:rPr>
            <w:color w:val="0000ff"/>
            <w:sz w:val="24"/>
          </w:rPr>
          <w:t xml:space="preserve">8</w:t>
        </w:r>
      </w:hyperlink>
      <w:r>
        <w:rPr>
          <w:sz w:val="24"/>
        </w:rPr>
        <w:t xml:space="preserve"> настоящей Методики, в зависимости от категории и направления практики.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Конкурсные заявки, поданные менее чем по двум направлениям, оценке не подлежат.</w:t>
      </w:r>
    </w:p>
    <w:bookmarkStart w:id="683" w:name="P683"/>
    <w:bookmarkEnd w:id="683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Индексы определяются с учетом следующего: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показателям, предусмотренным </w:t>
      </w:r>
      <w:hyperlink w:tooltip="3.2.1" w:anchor="P396" w:history="0">
        <w:r>
          <w:rPr>
            <w:color w:val="0000ff"/>
            <w:sz w:val="24"/>
          </w:rPr>
          <w:t xml:space="preserve">пунктами 3.2.1</w:t>
        </w:r>
      </w:hyperlink>
      <w:r>
        <w:rPr>
          <w:sz w:val="24"/>
        </w:rPr>
        <w:t xml:space="preserve">, </w:t>
      </w:r>
      <w:hyperlink w:tooltip="3.2.10" w:anchor="P488" w:history="0">
        <w:r>
          <w:rPr>
            <w:color w:val="0000ff"/>
            <w:sz w:val="24"/>
          </w:rPr>
          <w:t xml:space="preserve">3.2.10</w:t>
        </w:r>
      </w:hyperlink>
      <w:r>
        <w:rPr>
          <w:sz w:val="24"/>
        </w:rPr>
        <w:t xml:space="preserve">, </w:t>
      </w:r>
      <w:hyperlink w:tooltip="3.2.11" w:anchor="P492" w:history="0">
        <w:r>
          <w:rPr>
            <w:color w:val="0000ff"/>
            <w:sz w:val="24"/>
          </w:rPr>
          <w:t xml:space="preserve">3.2.11</w:t>
        </w:r>
      </w:hyperlink>
      <w:r>
        <w:rPr>
          <w:sz w:val="24"/>
        </w:rPr>
        <w:t xml:space="preserve">, </w:t>
      </w:r>
      <w:hyperlink w:tooltip="3.2.12" w:anchor="P496" w:history="0">
        <w:r>
          <w:rPr>
            <w:color w:val="0000ff"/>
            <w:sz w:val="24"/>
          </w:rPr>
          <w:t xml:space="preserve">3.2.12</w:t>
        </w:r>
      </w:hyperlink>
      <w:r>
        <w:rPr>
          <w:sz w:val="24"/>
        </w:rPr>
        <w:t xml:space="preserve"> и </w:t>
      </w:r>
      <w:hyperlink w:tooltip="3.3.8" w:anchor="P568" w:history="0">
        <w:r>
          <w:rPr>
            <w:color w:val="0000ff"/>
            <w:sz w:val="24"/>
          </w:rPr>
          <w:t xml:space="preserve">3.3.8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самоуправления, в случае положительного ответа присваивается индекс 1, в случае отрицательного - 0;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показателю, предусмотренному </w:t>
      </w:r>
      <w:hyperlink w:tooltip="3.3.3" w:anchor="P522" w:history="0">
        <w:r>
          <w:rPr>
            <w:color w:val="0000ff"/>
            <w:sz w:val="24"/>
          </w:rPr>
          <w:t xml:space="preserve">пунктом 3.3.3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самоуправления, в случае положительного ответа присваивается индекс 0, в случае отрицательного - 1;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к показателям, предусмотренным </w:t>
      </w:r>
      <w:hyperlink w:tooltip="1.1" w:anchor="P98" w:history="0">
        <w:r>
          <w:rPr>
            <w:color w:val="0000ff"/>
            <w:sz w:val="24"/>
          </w:rPr>
          <w:t xml:space="preserve">пунктами 1.1</w:t>
        </w:r>
      </w:hyperlink>
      <w:r>
        <w:rPr>
          <w:sz w:val="24"/>
        </w:rPr>
        <w:t xml:space="preserve">, </w:t>
      </w:r>
      <w:hyperlink w:tooltip="1.2" w:anchor="P109" w:history="0">
        <w:r>
          <w:rPr>
            <w:color w:val="0000ff"/>
            <w:sz w:val="24"/>
          </w:rPr>
          <w:t xml:space="preserve">1.2</w:t>
        </w:r>
      </w:hyperlink>
      <w:r>
        <w:rPr>
          <w:sz w:val="24"/>
        </w:rPr>
        <w:t xml:space="preserve">, </w:t>
      </w:r>
      <w:hyperlink w:tooltip="1.3" w:anchor="P125" w:history="0">
        <w:r>
          <w:rPr>
            <w:color w:val="0000ff"/>
            <w:sz w:val="24"/>
          </w:rPr>
          <w:t xml:space="preserve">1.3</w:t>
        </w:r>
      </w:hyperlink>
      <w:r>
        <w:rPr>
          <w:sz w:val="24"/>
        </w:rPr>
        <w:t xml:space="preserve">, </w:t>
      </w:r>
      <w:hyperlink w:tooltip="1.4" w:anchor="P136" w:history="0">
        <w:r>
          <w:rPr>
            <w:color w:val="0000ff"/>
            <w:sz w:val="24"/>
          </w:rPr>
          <w:t xml:space="preserve">1.4</w:t>
        </w:r>
      </w:hyperlink>
      <w:r>
        <w:rPr>
          <w:sz w:val="24"/>
        </w:rPr>
        <w:t xml:space="preserve">, </w:t>
      </w:r>
      <w:hyperlink w:tooltip="1.5" w:anchor="P152" w:history="0">
        <w:r>
          <w:rPr>
            <w:color w:val="0000ff"/>
            <w:sz w:val="24"/>
          </w:rPr>
          <w:t xml:space="preserve">1.5</w:t>
        </w:r>
      </w:hyperlink>
      <w:r>
        <w:rPr>
          <w:sz w:val="24"/>
        </w:rPr>
        <w:t xml:space="preserve">, </w:t>
      </w:r>
      <w:hyperlink w:tooltip="1.6" w:anchor="P163" w:history="0">
        <w:r>
          <w:rPr>
            <w:color w:val="0000ff"/>
            <w:sz w:val="24"/>
          </w:rPr>
          <w:t xml:space="preserve">1.6</w:t>
        </w:r>
      </w:hyperlink>
      <w:r>
        <w:rPr>
          <w:sz w:val="24"/>
        </w:rPr>
        <w:t xml:space="preserve">, </w:t>
      </w:r>
      <w:hyperlink w:tooltip="1.7" w:anchor="P173" w:history="0">
        <w:r>
          <w:rPr>
            <w:color w:val="0000ff"/>
            <w:sz w:val="24"/>
          </w:rPr>
          <w:t xml:space="preserve">1.7</w:t>
        </w:r>
      </w:hyperlink>
      <w:r>
        <w:rPr>
          <w:sz w:val="24"/>
        </w:rPr>
        <w:t xml:space="preserve">, </w:t>
      </w:r>
      <w:hyperlink w:tooltip="2.1" w:anchor="P194" w:history="0">
        <w:r>
          <w:rPr>
            <w:color w:val="0000ff"/>
            <w:sz w:val="24"/>
          </w:rPr>
          <w:t xml:space="preserve">2.1</w:t>
        </w:r>
      </w:hyperlink>
      <w:r>
        <w:rPr>
          <w:sz w:val="24"/>
        </w:rPr>
        <w:t xml:space="preserve">, </w:t>
      </w:r>
      <w:hyperlink w:tooltip="2.2" w:anchor="P205" w:history="0">
        <w:r>
          <w:rPr>
            <w:color w:val="0000ff"/>
            <w:sz w:val="24"/>
          </w:rPr>
          <w:t xml:space="preserve">2.2</w:t>
        </w:r>
      </w:hyperlink>
      <w:r>
        <w:rPr>
          <w:sz w:val="24"/>
        </w:rPr>
        <w:t xml:space="preserve">, </w:t>
      </w:r>
      <w:hyperlink w:tooltip="2.4" w:anchor="P225" w:history="0">
        <w:r>
          <w:rPr>
            <w:color w:val="0000ff"/>
            <w:sz w:val="24"/>
          </w:rPr>
          <w:t xml:space="preserve">2.4</w:t>
        </w:r>
      </w:hyperlink>
      <w:r>
        <w:rPr>
          <w:sz w:val="24"/>
        </w:rPr>
        <w:t xml:space="preserve">, </w:t>
      </w:r>
      <w:hyperlink w:tooltip="2.5" w:anchor="P235" w:history="0">
        <w:r>
          <w:rPr>
            <w:color w:val="0000ff"/>
            <w:sz w:val="24"/>
          </w:rPr>
          <w:t xml:space="preserve">2.5</w:t>
        </w:r>
      </w:hyperlink>
      <w:r>
        <w:rPr>
          <w:sz w:val="24"/>
        </w:rPr>
        <w:t xml:space="preserve">, </w:t>
      </w:r>
      <w:hyperlink w:tooltip="2.8" w:anchor="P265" w:history="0">
        <w:r>
          <w:rPr>
            <w:color w:val="0000ff"/>
            <w:sz w:val="24"/>
          </w:rPr>
          <w:t xml:space="preserve">2.8</w:t>
        </w:r>
      </w:hyperlink>
      <w:r>
        <w:rPr>
          <w:sz w:val="24"/>
        </w:rPr>
        <w:t xml:space="preserve">, </w:t>
      </w:r>
      <w:hyperlink w:tooltip="2.9" w:anchor="P275" w:history="0">
        <w:r>
          <w:rPr>
            <w:color w:val="0000ff"/>
            <w:sz w:val="24"/>
          </w:rPr>
          <w:t xml:space="preserve">2.9</w:t>
        </w:r>
      </w:hyperlink>
      <w:r>
        <w:rPr>
          <w:sz w:val="24"/>
        </w:rPr>
        <w:t xml:space="preserve">, </w:t>
      </w:r>
      <w:hyperlink w:tooltip="2.10" w:anchor="P285" w:history="0">
        <w:r>
          <w:rPr>
            <w:color w:val="0000ff"/>
            <w:sz w:val="24"/>
          </w:rPr>
          <w:t xml:space="preserve">2.10</w:t>
        </w:r>
      </w:hyperlink>
      <w:r>
        <w:rPr>
          <w:sz w:val="24"/>
        </w:rPr>
        <w:t xml:space="preserve">, </w:t>
      </w:r>
      <w:hyperlink w:tooltip="3.1.1" w:anchor="P298" w:history="0">
        <w:r>
          <w:rPr>
            <w:color w:val="0000ff"/>
            <w:sz w:val="24"/>
          </w:rPr>
          <w:t xml:space="preserve">3.1.1</w:t>
        </w:r>
      </w:hyperlink>
      <w:r>
        <w:rPr>
          <w:sz w:val="24"/>
        </w:rPr>
        <w:t xml:space="preserve">, </w:t>
      </w:r>
      <w:hyperlink w:tooltip="3.1.2" w:anchor="P309" w:history="0">
        <w:r>
          <w:rPr>
            <w:color w:val="0000ff"/>
            <w:sz w:val="24"/>
          </w:rPr>
          <w:t xml:space="preserve">3.1.2</w:t>
        </w:r>
      </w:hyperlink>
      <w:r>
        <w:rPr>
          <w:sz w:val="24"/>
        </w:rPr>
        <w:t xml:space="preserve">, </w:t>
      </w:r>
      <w:hyperlink w:tooltip="3.1.3" w:anchor="P320" w:history="0">
        <w:r>
          <w:rPr>
            <w:color w:val="0000ff"/>
            <w:sz w:val="24"/>
          </w:rPr>
          <w:t xml:space="preserve">3.1.3</w:t>
        </w:r>
      </w:hyperlink>
      <w:r>
        <w:rPr>
          <w:sz w:val="24"/>
        </w:rPr>
        <w:t xml:space="preserve">, </w:t>
      </w:r>
      <w:hyperlink w:tooltip="3.1.4" w:anchor="P330" w:history="0">
        <w:r>
          <w:rPr>
            <w:color w:val="0000ff"/>
            <w:sz w:val="24"/>
          </w:rPr>
          <w:t xml:space="preserve">3.1.4</w:t>
        </w:r>
      </w:hyperlink>
      <w:r>
        <w:rPr>
          <w:sz w:val="24"/>
        </w:rPr>
        <w:t xml:space="preserve">, </w:t>
      </w:r>
      <w:hyperlink w:tooltip="3.1.5" w:anchor="P341" w:history="0">
        <w:r>
          <w:rPr>
            <w:color w:val="0000ff"/>
            <w:sz w:val="24"/>
          </w:rPr>
          <w:t xml:space="preserve">3.1.5</w:t>
        </w:r>
      </w:hyperlink>
      <w:r>
        <w:rPr>
          <w:sz w:val="24"/>
        </w:rPr>
        <w:t xml:space="preserve">, </w:t>
      </w:r>
      <w:hyperlink w:tooltip="3.1.6" w:anchor="P352" w:history="0">
        <w:r>
          <w:rPr>
            <w:color w:val="0000ff"/>
            <w:sz w:val="24"/>
          </w:rPr>
          <w:t xml:space="preserve">3.1.6</w:t>
        </w:r>
      </w:hyperlink>
      <w:r>
        <w:rPr>
          <w:sz w:val="24"/>
        </w:rPr>
        <w:t xml:space="preserve">, </w:t>
      </w:r>
      <w:hyperlink w:tooltip="3.1.7" w:anchor="P378" w:history="0">
        <w:r>
          <w:rPr>
            <w:color w:val="0000ff"/>
            <w:sz w:val="24"/>
          </w:rPr>
          <w:t xml:space="preserve">3.1.7</w:t>
        </w:r>
      </w:hyperlink>
      <w:r>
        <w:rPr>
          <w:sz w:val="24"/>
        </w:rPr>
        <w:t xml:space="preserve">, </w:t>
      </w:r>
      <w:hyperlink w:tooltip="3.2.2" w:anchor="P404" w:history="0">
        <w:r>
          <w:rPr>
            <w:color w:val="0000ff"/>
            <w:sz w:val="24"/>
          </w:rPr>
          <w:t xml:space="preserve">3.2.2</w:t>
        </w:r>
      </w:hyperlink>
      <w:r>
        <w:rPr>
          <w:sz w:val="24"/>
        </w:rPr>
        <w:t xml:space="preserve">, </w:t>
      </w:r>
      <w:hyperlink w:tooltip="3.2.4" w:anchor="P425" w:history="0">
        <w:r>
          <w:rPr>
            <w:color w:val="0000ff"/>
            <w:sz w:val="24"/>
          </w:rPr>
          <w:t xml:space="preserve">3.2.4</w:t>
        </w:r>
      </w:hyperlink>
      <w:r>
        <w:rPr>
          <w:sz w:val="24"/>
        </w:rPr>
        <w:t xml:space="preserve">, </w:t>
      </w:r>
      <w:hyperlink w:tooltip="3.2.6" w:anchor="P446" w:history="0">
        <w:r>
          <w:rPr>
            <w:color w:val="0000ff"/>
            <w:sz w:val="24"/>
          </w:rPr>
          <w:t xml:space="preserve">3.2.6</w:t>
        </w:r>
      </w:hyperlink>
      <w:r>
        <w:rPr>
          <w:sz w:val="24"/>
        </w:rPr>
        <w:t xml:space="preserve">, </w:t>
      </w:r>
      <w:hyperlink w:tooltip="3.2.7" w:anchor="P457" w:history="0">
        <w:r>
          <w:rPr>
            <w:color w:val="0000ff"/>
            <w:sz w:val="24"/>
          </w:rPr>
          <w:t xml:space="preserve">3.2.7</w:t>
        </w:r>
      </w:hyperlink>
      <w:r>
        <w:rPr>
          <w:sz w:val="24"/>
        </w:rPr>
        <w:t xml:space="preserve">, </w:t>
      </w:r>
      <w:hyperlink w:tooltip="3.2.8" w:anchor="P468" w:history="0">
        <w:r>
          <w:rPr>
            <w:color w:val="0000ff"/>
            <w:sz w:val="24"/>
          </w:rPr>
          <w:t xml:space="preserve">3.2.8</w:t>
        </w:r>
      </w:hyperlink>
      <w:r>
        <w:rPr>
          <w:sz w:val="24"/>
        </w:rPr>
        <w:t xml:space="preserve">, </w:t>
      </w:r>
      <w:hyperlink w:tooltip="3.2.9" w:anchor="P478" w:history="0">
        <w:r>
          <w:rPr>
            <w:color w:val="0000ff"/>
            <w:sz w:val="24"/>
          </w:rPr>
          <w:t xml:space="preserve">3.2.9</w:t>
        </w:r>
      </w:hyperlink>
      <w:r>
        <w:rPr>
          <w:sz w:val="24"/>
        </w:rPr>
        <w:t xml:space="preserve">, </w:t>
      </w:r>
      <w:hyperlink w:tooltip="3.3.1" w:anchor="P502" w:history="0">
        <w:r>
          <w:rPr>
            <w:color w:val="0000ff"/>
            <w:sz w:val="24"/>
          </w:rPr>
          <w:t xml:space="preserve">3.3.1</w:t>
        </w:r>
      </w:hyperlink>
      <w:r>
        <w:rPr>
          <w:sz w:val="24"/>
        </w:rPr>
        <w:t xml:space="preserve">, </w:t>
      </w:r>
      <w:hyperlink w:tooltip="3.3.4" w:anchor="P526" w:history="0">
        <w:r>
          <w:rPr>
            <w:color w:val="0000ff"/>
            <w:sz w:val="24"/>
          </w:rPr>
          <w:t xml:space="preserve">3.3.4</w:t>
        </w:r>
      </w:hyperlink>
      <w:r>
        <w:rPr>
          <w:sz w:val="24"/>
        </w:rPr>
        <w:t xml:space="preserve">, </w:t>
      </w:r>
      <w:hyperlink w:tooltip="3.3.5" w:anchor="P537" w:history="0">
        <w:r>
          <w:rPr>
            <w:color w:val="0000ff"/>
            <w:sz w:val="24"/>
          </w:rPr>
          <w:t xml:space="preserve">3.3.5</w:t>
        </w:r>
      </w:hyperlink>
      <w:r>
        <w:rPr>
          <w:sz w:val="24"/>
        </w:rPr>
        <w:t xml:space="preserve">, </w:t>
      </w:r>
      <w:hyperlink w:tooltip="3.3.6" w:anchor="P547" w:history="0">
        <w:r>
          <w:rPr>
            <w:color w:val="0000ff"/>
            <w:sz w:val="24"/>
          </w:rPr>
          <w:t xml:space="preserve">3.3.6</w:t>
        </w:r>
      </w:hyperlink>
      <w:r>
        <w:rPr>
          <w:sz w:val="24"/>
        </w:rPr>
        <w:t xml:space="preserve">, </w:t>
      </w:r>
      <w:hyperlink w:tooltip="3.3.10" w:anchor="P586" w:history="0">
        <w:r>
          <w:rPr>
            <w:color w:val="0000ff"/>
            <w:sz w:val="24"/>
          </w:rPr>
          <w:t xml:space="preserve">3.3.10</w:t>
        </w:r>
      </w:hyperlink>
      <w:r>
        <w:rPr>
          <w:sz w:val="24"/>
        </w:rPr>
        <w:t xml:space="preserve"> и </w:t>
      </w:r>
      <w:hyperlink w:tooltip="3.3.11" w:anchor="P596" w:history="0">
        <w:r>
          <w:rPr>
            <w:color w:val="0000ff"/>
            <w:sz w:val="24"/>
          </w:rPr>
          <w:t xml:space="preserve">3.3.11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самоуправления, применяется индекс (Ип), рассчитываемый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Ип = (П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- П</w:t>
      </w:r>
      <w:r>
        <w:rPr>
          <w:sz w:val="24"/>
          <w:vertAlign w:val="subscript"/>
        </w:rPr>
        <w:t xml:space="preserve">мин</w:t>
      </w:r>
      <w:r>
        <w:rPr>
          <w:sz w:val="24"/>
        </w:rPr>
        <w:t xml:space="preserve">) / (П</w:t>
      </w:r>
      <w:r>
        <w:rPr>
          <w:sz w:val="24"/>
          <w:vertAlign w:val="subscript"/>
        </w:rPr>
        <w:t xml:space="preserve">макс</w:t>
      </w:r>
      <w:r>
        <w:rPr>
          <w:sz w:val="24"/>
        </w:rPr>
        <w:t xml:space="preserve"> - П</w:t>
      </w:r>
      <w:r>
        <w:rPr>
          <w:sz w:val="24"/>
          <w:vertAlign w:val="subscript"/>
        </w:rPr>
        <w:t xml:space="preserve">мин</w:t>
      </w:r>
      <w:r>
        <w:rPr>
          <w:sz w:val="24"/>
        </w:rPr>
        <w:t xml:space="preserve">),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- значение соответствующего показателя муниципального образования;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</w:t>
      </w:r>
      <w:r>
        <w:rPr>
          <w:sz w:val="24"/>
          <w:vertAlign w:val="subscript"/>
        </w:rPr>
        <w:t xml:space="preserve">мин</w:t>
      </w:r>
      <w:r>
        <w:rPr>
          <w:sz w:val="24"/>
        </w:rPr>
        <w:t xml:space="preserve"> - минимальное значение соответствующего показателя среди муниципальных образований;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</w:t>
      </w:r>
      <w:r>
        <w:rPr>
          <w:sz w:val="24"/>
          <w:vertAlign w:val="subscript"/>
        </w:rPr>
        <w:t xml:space="preserve">макс</w:t>
      </w:r>
      <w:r>
        <w:rPr>
          <w:sz w:val="24"/>
        </w:rPr>
        <w:t xml:space="preserve"> - максимальное значение соответствующего показателя среди муниципальных образований;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в) к показателям, предусмотренным </w:t>
      </w:r>
      <w:hyperlink w:tooltip="1.8" w:anchor="P183" w:history="0">
        <w:r>
          <w:rPr>
            <w:color w:val="0000ff"/>
            <w:sz w:val="24"/>
          </w:rPr>
          <w:t xml:space="preserve">пунктами 1.8</w:t>
        </w:r>
      </w:hyperlink>
      <w:r>
        <w:rPr>
          <w:sz w:val="24"/>
        </w:rPr>
        <w:t xml:space="preserve">, </w:t>
      </w:r>
      <w:hyperlink w:tooltip="2.3" w:anchor="P215" w:history="0">
        <w:r>
          <w:rPr>
            <w:color w:val="0000ff"/>
            <w:sz w:val="24"/>
          </w:rPr>
          <w:t xml:space="preserve">2.3</w:t>
        </w:r>
      </w:hyperlink>
      <w:r>
        <w:rPr>
          <w:sz w:val="24"/>
        </w:rPr>
        <w:t xml:space="preserve">, </w:t>
      </w:r>
      <w:hyperlink w:tooltip="2.6" w:anchor="P245" w:history="0">
        <w:r>
          <w:rPr>
            <w:color w:val="0000ff"/>
            <w:sz w:val="24"/>
          </w:rPr>
          <w:t xml:space="preserve">2.6</w:t>
        </w:r>
      </w:hyperlink>
      <w:r>
        <w:rPr>
          <w:sz w:val="24"/>
        </w:rPr>
        <w:t xml:space="preserve">, </w:t>
      </w:r>
      <w:hyperlink w:tooltip="2.7" w:anchor="P255" w:history="0">
        <w:r>
          <w:rPr>
            <w:color w:val="0000ff"/>
            <w:sz w:val="24"/>
          </w:rPr>
          <w:t xml:space="preserve">2.7</w:t>
        </w:r>
      </w:hyperlink>
      <w:r>
        <w:rPr>
          <w:sz w:val="24"/>
        </w:rPr>
        <w:t xml:space="preserve">, </w:t>
      </w:r>
      <w:hyperlink w:tooltip="3.2.3" w:anchor="P415" w:history="0">
        <w:r>
          <w:rPr>
            <w:color w:val="0000ff"/>
            <w:sz w:val="24"/>
          </w:rPr>
          <w:t xml:space="preserve">3.2.3</w:t>
        </w:r>
      </w:hyperlink>
      <w:r>
        <w:rPr>
          <w:sz w:val="24"/>
        </w:rPr>
        <w:t xml:space="preserve">, </w:t>
      </w:r>
      <w:hyperlink w:tooltip="3.2.5" w:anchor="P436" w:history="0">
        <w:r>
          <w:rPr>
            <w:color w:val="0000ff"/>
            <w:sz w:val="24"/>
          </w:rPr>
          <w:t xml:space="preserve">3.2.5</w:t>
        </w:r>
      </w:hyperlink>
      <w:r>
        <w:rPr>
          <w:sz w:val="24"/>
        </w:rPr>
        <w:t xml:space="preserve">, </w:t>
      </w:r>
      <w:hyperlink w:tooltip="3.3.2" w:anchor="P512" w:history="0">
        <w:r>
          <w:rPr>
            <w:color w:val="0000ff"/>
            <w:sz w:val="24"/>
          </w:rPr>
          <w:t xml:space="preserve">3.3.2</w:t>
        </w:r>
      </w:hyperlink>
      <w:r>
        <w:rPr>
          <w:sz w:val="24"/>
        </w:rPr>
        <w:t xml:space="preserve">, </w:t>
      </w:r>
      <w:hyperlink w:tooltip="3.3.7" w:anchor="P558" w:history="0">
        <w:r>
          <w:rPr>
            <w:color w:val="0000ff"/>
            <w:sz w:val="24"/>
          </w:rPr>
          <w:t xml:space="preserve">3.3.7</w:t>
        </w:r>
      </w:hyperlink>
      <w:r>
        <w:rPr>
          <w:sz w:val="24"/>
        </w:rPr>
        <w:t xml:space="preserve">, </w:t>
      </w:r>
      <w:hyperlink w:tooltip="3.3.9" w:anchor="P574" w:history="0">
        <w:r>
          <w:rPr>
            <w:color w:val="0000ff"/>
            <w:sz w:val="24"/>
          </w:rPr>
          <w:t xml:space="preserve">3.3.9</w:t>
        </w:r>
      </w:hyperlink>
      <w:r>
        <w:rPr>
          <w:sz w:val="24"/>
        </w:rPr>
        <w:t xml:space="preserve">, </w:t>
      </w:r>
      <w:hyperlink w:tooltip="3.3.12" w:anchor="P606" w:history="0">
        <w:r>
          <w:rPr>
            <w:color w:val="0000ff"/>
            <w:sz w:val="24"/>
          </w:rPr>
          <w:t xml:space="preserve">3.3.12</w:t>
        </w:r>
      </w:hyperlink>
      <w:r>
        <w:rPr>
          <w:sz w:val="24"/>
        </w:rPr>
        <w:t xml:space="preserve">, </w:t>
      </w:r>
      <w:hyperlink w:tooltip="3.3.13" w:anchor="P616" w:history="0">
        <w:r>
          <w:rPr>
            <w:color w:val="0000ff"/>
            <w:sz w:val="24"/>
          </w:rPr>
          <w:t xml:space="preserve">3.3.13</w:t>
        </w:r>
      </w:hyperlink>
      <w:r>
        <w:rPr>
          <w:sz w:val="24"/>
        </w:rPr>
        <w:t xml:space="preserve"> и </w:t>
      </w:r>
      <w:hyperlink w:tooltip="3.3.14" w:anchor="P626" w:history="0">
        <w:r>
          <w:rPr>
            <w:color w:val="0000ff"/>
            <w:sz w:val="24"/>
          </w:rPr>
          <w:t xml:space="preserve">3.3.14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самоуправления, применяется индекс (Ип), рассчитываемый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Ип = (П</w:t>
      </w:r>
      <w:r>
        <w:rPr>
          <w:sz w:val="24"/>
          <w:vertAlign w:val="subscript"/>
        </w:rPr>
        <w:t xml:space="preserve">макс</w:t>
      </w:r>
      <w:r>
        <w:rPr>
          <w:sz w:val="24"/>
        </w:rPr>
        <w:t xml:space="preserve"> - П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 / (П</w:t>
      </w:r>
      <w:r>
        <w:rPr>
          <w:sz w:val="24"/>
          <w:vertAlign w:val="subscript"/>
        </w:rPr>
        <w:t xml:space="preserve">макс</w:t>
      </w:r>
      <w:r>
        <w:rPr>
          <w:sz w:val="24"/>
        </w:rPr>
        <w:t xml:space="preserve"> - П</w:t>
      </w:r>
      <w:r>
        <w:rPr>
          <w:sz w:val="24"/>
          <w:vertAlign w:val="subscript"/>
        </w:rPr>
        <w:t xml:space="preserve">мин</w:t>
      </w:r>
      <w:r>
        <w:rPr>
          <w:sz w:val="24"/>
        </w:rPr>
        <w:t xml:space="preserve">),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- значение соответствующего показателя муниципального образования;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</w:t>
      </w:r>
      <w:r>
        <w:rPr>
          <w:sz w:val="24"/>
          <w:vertAlign w:val="subscript"/>
        </w:rPr>
        <w:t xml:space="preserve">мин</w:t>
      </w:r>
      <w:r>
        <w:rPr>
          <w:sz w:val="24"/>
        </w:rPr>
        <w:t xml:space="preserve"> - минимальное значение соответствующего показателя среди муниципальных образований;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</w:t>
      </w:r>
      <w:r>
        <w:rPr>
          <w:sz w:val="24"/>
          <w:vertAlign w:val="subscript"/>
        </w:rPr>
        <w:t xml:space="preserve">макс</w:t>
      </w:r>
      <w:r>
        <w:rPr>
          <w:sz w:val="24"/>
        </w:rPr>
        <w:t xml:space="preserve"> - максимальное значение соответствующего показателя среди муниципальных образований.</w:t>
      </w:r>
    </w:p>
    <w:bookmarkStart w:id="702" w:name="P702"/>
    <w:bookmarkEnd w:id="702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5. Итоговая сумма баллов конкурсной заявки (К</w:t>
      </w:r>
      <w:r>
        <w:rPr>
          <w:sz w:val="24"/>
          <w:vertAlign w:val="subscript"/>
        </w:rPr>
        <w:t xml:space="preserve">регi</w:t>
      </w:r>
      <w:r>
        <w:rPr>
          <w:sz w:val="24"/>
        </w:rPr>
        <w:t xml:space="preserve">) определяется по следующей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регi</w:t>
      </w:r>
      <w:r>
        <w:rPr>
          <w:sz w:val="24"/>
        </w:rPr>
        <w:t xml:space="preserve"> = 0,2 x К</w:t>
      </w:r>
      <w:r>
        <w:rPr>
          <w:sz w:val="24"/>
          <w:vertAlign w:val="subscript"/>
        </w:rPr>
        <w:t xml:space="preserve">1i</w:t>
      </w:r>
      <w:r>
        <w:rPr>
          <w:sz w:val="24"/>
        </w:rPr>
        <w:t xml:space="preserve"> + 0,2 x К</w:t>
      </w:r>
      <w:r>
        <w:rPr>
          <w:sz w:val="24"/>
          <w:vertAlign w:val="subscript"/>
        </w:rPr>
        <w:t xml:space="preserve">2i</w:t>
      </w:r>
      <w:r>
        <w:rPr>
          <w:sz w:val="24"/>
        </w:rPr>
        <w:t xml:space="preserve"> + 0,6 x К</w:t>
      </w:r>
      <w:r>
        <w:rPr>
          <w:sz w:val="24"/>
          <w:vertAlign w:val="subscript"/>
        </w:rPr>
        <w:t xml:space="preserve">3i</w: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регi</w:t>
      </w:r>
      <w:r>
        <w:rPr>
          <w:sz w:val="24"/>
        </w:rPr>
        <w:t xml:space="preserve"> - итоговая сумма баллов конкурсной заявки по i-му муниципальному образованию на региональном этапе;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1i</w:t>
      </w:r>
      <w:r>
        <w:rPr>
          <w:sz w:val="24"/>
        </w:rPr>
        <w:t xml:space="preserve"> - итоговая сумма коэффициентов по </w:t>
      </w:r>
      <w:hyperlink w:tooltip="Раздел 1. Показатели, характеризующие социально-экономическую ситуацию в муниципальном образовании" w:anchor="P97" w:history="0">
        <w:r>
          <w:rPr>
            <w:color w:val="0000ff"/>
            <w:sz w:val="24"/>
          </w:rPr>
          <w:t xml:space="preserve">разделу 1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2i</w:t>
      </w:r>
      <w:r>
        <w:rPr>
          <w:sz w:val="24"/>
        </w:rPr>
        <w:t xml:space="preserve"> - итоговая сумма коэффициентов по </w:t>
      </w:r>
      <w:hyperlink w:tooltip="Раздел 2. Показатели, характеризующие управление муниципальными финансами" w:anchor="P193" w:history="0">
        <w:r>
          <w:rPr>
            <w:color w:val="0000ff"/>
            <w:sz w:val="24"/>
          </w:rPr>
          <w:t xml:space="preserve">разделу 2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3i</w:t>
      </w:r>
      <w:r>
        <w:rPr>
          <w:sz w:val="24"/>
        </w:rPr>
        <w:t xml:space="preserve"> - итоговая сумма коэффициентов по </w:t>
      </w:r>
      <w:hyperlink w:tooltip="Раздел 3. Показатели, характеризующие выбранное направление практики" w:anchor="P295" w:history="0">
        <w:r>
          <w:rPr>
            <w:color w:val="0000ff"/>
            <w:sz w:val="24"/>
          </w:rPr>
          <w:t xml:space="preserve">разделу 3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самоуправления.</w:t>
      </w:r>
    </w:p>
    <w:bookmarkStart w:id="711" w:name="P711"/>
    <w:bookmarkEnd w:id="711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6. Итоговая сумма коэффициентов по </w:t>
      </w:r>
      <w:hyperlink w:tooltip="Раздел 1. Показатели, характеризующие социально-экономическую ситуацию в муниципальном образовании" w:anchor="P97" w:history="0">
        <w:r>
          <w:rPr>
            <w:color w:val="0000ff"/>
            <w:sz w:val="24"/>
          </w:rPr>
          <w:t xml:space="preserve">разделу 1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 (К</w:t>
      </w:r>
      <w:r>
        <w:rPr>
          <w:sz w:val="24"/>
          <w:vertAlign w:val="subscript"/>
        </w:rPr>
        <w:t xml:space="preserve">1i</w:t>
      </w:r>
      <w:r>
        <w:rPr>
          <w:sz w:val="24"/>
        </w:rPr>
        <w:t xml:space="preserve">), рассчитывается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77640" cy="468630"/>
                <wp:effectExtent l="0" t="0" r="0" b="0"/>
                <wp:docPr id="18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55">
                          <a:extLst>
                            <a:ext uri="{96DAC541-7B7A-43D3-8B79-37D633B846F1}">
                              <asvg:svgBlip xmlns:asvg="http://schemas.microsoft.com/office/drawing/2016/SVG/main" r:embed="rId56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397764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313.20pt;height:36.90pt;mso-wrap-distance-left:0.00pt;mso-wrap-distance-top:0.00pt;mso-wrap-distance-right:0.00pt;mso-wrap-distance-bottom:0.00pt;" stroked="f">
                <v:path textboxrect="0,0,0,0"/>
                <v:imagedata r:id="rId55" o:title=""/>
              </v:shape>
            </w:pict>
          </mc:Fallback>
        </mc:AlternateConten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U</w:t>
      </w:r>
      <w:r>
        <w:rPr>
          <w:sz w:val="24"/>
          <w:vertAlign w:val="subscript"/>
        </w:rPr>
        <w:t xml:space="preserve">11i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12i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13i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14i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15i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16i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17i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18i</w:t>
      </w:r>
      <w:r>
        <w:rPr>
          <w:sz w:val="24"/>
        </w:rPr>
        <w:t xml:space="preserve"> - индексы показателей, соответствующие </w:t>
      </w:r>
      <w:hyperlink w:tooltip="1.1" w:anchor="P98" w:history="0">
        <w:r>
          <w:rPr>
            <w:color w:val="0000ff"/>
            <w:sz w:val="24"/>
          </w:rPr>
          <w:t xml:space="preserve">пунктам 1.1</w:t>
        </w:r>
      </w:hyperlink>
      <w:r>
        <w:rPr>
          <w:sz w:val="24"/>
        </w:rPr>
        <w:t xml:space="preserve">, </w:t>
      </w:r>
      <w:hyperlink w:tooltip="1.2" w:anchor="P109" w:history="0">
        <w:r>
          <w:rPr>
            <w:color w:val="0000ff"/>
            <w:sz w:val="24"/>
          </w:rPr>
          <w:t xml:space="preserve">1.2</w:t>
        </w:r>
      </w:hyperlink>
      <w:r>
        <w:rPr>
          <w:sz w:val="24"/>
        </w:rPr>
        <w:t xml:space="preserve">, </w:t>
      </w:r>
      <w:hyperlink w:tooltip="1.3" w:anchor="P125" w:history="0">
        <w:r>
          <w:rPr>
            <w:color w:val="0000ff"/>
            <w:sz w:val="24"/>
          </w:rPr>
          <w:t xml:space="preserve">1.3</w:t>
        </w:r>
      </w:hyperlink>
      <w:r>
        <w:rPr>
          <w:sz w:val="24"/>
        </w:rPr>
        <w:t xml:space="preserve">, </w:t>
      </w:r>
      <w:hyperlink w:tooltip="1.4" w:anchor="P136" w:history="0">
        <w:r>
          <w:rPr>
            <w:color w:val="0000ff"/>
            <w:sz w:val="24"/>
          </w:rPr>
          <w:t xml:space="preserve">1.4</w:t>
        </w:r>
      </w:hyperlink>
      <w:r>
        <w:rPr>
          <w:sz w:val="24"/>
        </w:rPr>
        <w:t xml:space="preserve">, </w:t>
      </w:r>
      <w:hyperlink w:tooltip="1.5" w:anchor="P152" w:history="0">
        <w:r>
          <w:rPr>
            <w:color w:val="0000ff"/>
            <w:sz w:val="24"/>
          </w:rPr>
          <w:t xml:space="preserve">1.5</w:t>
        </w:r>
      </w:hyperlink>
      <w:r>
        <w:rPr>
          <w:sz w:val="24"/>
        </w:rPr>
        <w:t xml:space="preserve">, </w:t>
      </w:r>
      <w:hyperlink w:tooltip="1.6" w:anchor="P163" w:history="0">
        <w:r>
          <w:rPr>
            <w:color w:val="0000ff"/>
            <w:sz w:val="24"/>
          </w:rPr>
          <w:t xml:space="preserve">1.6</w:t>
        </w:r>
      </w:hyperlink>
      <w:r>
        <w:rPr>
          <w:sz w:val="24"/>
        </w:rPr>
        <w:t xml:space="preserve">, </w:t>
      </w:r>
      <w:hyperlink w:tooltip="1.7" w:anchor="P173" w:history="0">
        <w:r>
          <w:rPr>
            <w:color w:val="0000ff"/>
            <w:sz w:val="24"/>
          </w:rPr>
          <w:t xml:space="preserve">1.7</w:t>
        </w:r>
      </w:hyperlink>
      <w:r>
        <w:rPr>
          <w:sz w:val="24"/>
        </w:rPr>
        <w:t xml:space="preserve"> и </w:t>
      </w:r>
      <w:hyperlink w:tooltip="1.8" w:anchor="P183" w:history="0">
        <w:r>
          <w:rPr>
            <w:color w:val="0000ff"/>
            <w:sz w:val="24"/>
          </w:rPr>
          <w:t xml:space="preserve">1.8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самоуправления.</w:t>
      </w:r>
    </w:p>
    <w:bookmarkStart w:id="717" w:name="P717"/>
    <w:bookmarkEnd w:id="717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7. Итоговая сумма коэффициентов по </w:t>
      </w:r>
      <w:hyperlink w:tooltip="Раздел 2. Показатели, характеризующие управление муниципальными финансами" w:anchor="P193" w:history="0">
        <w:r>
          <w:rPr>
            <w:color w:val="0000ff"/>
            <w:sz w:val="24"/>
          </w:rPr>
          <w:t xml:space="preserve">разделу 2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 (К</w:t>
      </w:r>
      <w:r>
        <w:rPr>
          <w:sz w:val="24"/>
          <w:vertAlign w:val="subscript"/>
        </w:rPr>
        <w:t xml:space="preserve">2i</w:t>
      </w:r>
      <w:r>
        <w:rPr>
          <w:sz w:val="24"/>
        </w:rPr>
        <w:t xml:space="preserve">), рассчитывается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74920" cy="468630"/>
                <wp:effectExtent l="0" t="0" r="0" b="0"/>
                <wp:docPr id="19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57">
                          <a:extLst>
                            <a:ext uri="{96DAC541-7B7A-43D3-8B79-37D633B846F1}">
                              <asvg:svgBlip xmlns:asvg="http://schemas.microsoft.com/office/drawing/2016/SVG/main" r:embed="rId58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507492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399.60pt;height:36.90pt;mso-wrap-distance-left:0.00pt;mso-wrap-distance-top:0.00pt;mso-wrap-distance-right:0.00pt;mso-wrap-distance-bottom:0.00pt;" stroked="f">
                <v:path textboxrect="0,0,0,0"/>
                <v:imagedata r:id="rId57" o:title=""/>
              </v:shape>
            </w:pict>
          </mc:Fallback>
        </mc:AlternateConten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U</w:t>
      </w:r>
      <w:r>
        <w:rPr>
          <w:sz w:val="24"/>
          <w:vertAlign w:val="subscript"/>
        </w:rPr>
        <w:t xml:space="preserve">21i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22i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23i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24i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25i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26i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27i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28i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29i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210i</w:t>
      </w:r>
      <w:r>
        <w:rPr>
          <w:sz w:val="24"/>
        </w:rPr>
        <w:t xml:space="preserve"> - индексы показателей, соответствующие </w:t>
      </w:r>
      <w:hyperlink w:tooltip="2.1" w:anchor="P194" w:history="0">
        <w:r>
          <w:rPr>
            <w:color w:val="0000ff"/>
            <w:sz w:val="24"/>
          </w:rPr>
          <w:t xml:space="preserve">пунктам 2.1</w:t>
        </w:r>
      </w:hyperlink>
      <w:r>
        <w:rPr>
          <w:sz w:val="24"/>
        </w:rPr>
        <w:t xml:space="preserve">, </w:t>
      </w:r>
      <w:hyperlink w:tooltip="2.2" w:anchor="P205" w:history="0">
        <w:r>
          <w:rPr>
            <w:color w:val="0000ff"/>
            <w:sz w:val="24"/>
          </w:rPr>
          <w:t xml:space="preserve">2.2</w:t>
        </w:r>
      </w:hyperlink>
      <w:r>
        <w:rPr>
          <w:sz w:val="24"/>
        </w:rPr>
        <w:t xml:space="preserve">, </w:t>
      </w:r>
      <w:hyperlink w:tooltip="2.3" w:anchor="P215" w:history="0">
        <w:r>
          <w:rPr>
            <w:color w:val="0000ff"/>
            <w:sz w:val="24"/>
          </w:rPr>
          <w:t xml:space="preserve">2.3</w:t>
        </w:r>
      </w:hyperlink>
      <w:r>
        <w:rPr>
          <w:sz w:val="24"/>
        </w:rPr>
        <w:t xml:space="preserve">, </w:t>
      </w:r>
      <w:hyperlink w:tooltip="2.4" w:anchor="P225" w:history="0">
        <w:r>
          <w:rPr>
            <w:color w:val="0000ff"/>
            <w:sz w:val="24"/>
          </w:rPr>
          <w:t xml:space="preserve">2.4</w:t>
        </w:r>
      </w:hyperlink>
      <w:r>
        <w:rPr>
          <w:sz w:val="24"/>
        </w:rPr>
        <w:t xml:space="preserve">, </w:t>
      </w:r>
      <w:hyperlink w:tooltip="2.5" w:anchor="P235" w:history="0">
        <w:r>
          <w:rPr>
            <w:color w:val="0000ff"/>
            <w:sz w:val="24"/>
          </w:rPr>
          <w:t xml:space="preserve">2.5</w:t>
        </w:r>
      </w:hyperlink>
      <w:r>
        <w:rPr>
          <w:sz w:val="24"/>
        </w:rPr>
        <w:t xml:space="preserve">, </w:t>
      </w:r>
      <w:hyperlink w:tooltip="2.6" w:anchor="P245" w:history="0">
        <w:r>
          <w:rPr>
            <w:color w:val="0000ff"/>
            <w:sz w:val="24"/>
          </w:rPr>
          <w:t xml:space="preserve">2.6</w:t>
        </w:r>
      </w:hyperlink>
      <w:r>
        <w:rPr>
          <w:sz w:val="24"/>
        </w:rPr>
        <w:t xml:space="preserve">, </w:t>
      </w:r>
      <w:hyperlink w:tooltip="2.7" w:anchor="P255" w:history="0">
        <w:r>
          <w:rPr>
            <w:color w:val="0000ff"/>
            <w:sz w:val="24"/>
          </w:rPr>
          <w:t xml:space="preserve">2.7</w:t>
        </w:r>
      </w:hyperlink>
      <w:r>
        <w:rPr>
          <w:sz w:val="24"/>
        </w:rPr>
        <w:t xml:space="preserve">, </w:t>
      </w:r>
      <w:hyperlink w:tooltip="2.8" w:anchor="P265" w:history="0">
        <w:r>
          <w:rPr>
            <w:color w:val="0000ff"/>
            <w:sz w:val="24"/>
          </w:rPr>
          <w:t xml:space="preserve">2.8</w:t>
        </w:r>
      </w:hyperlink>
      <w:r>
        <w:rPr>
          <w:sz w:val="24"/>
        </w:rPr>
        <w:t xml:space="preserve">, </w:t>
      </w:r>
      <w:hyperlink w:tooltip="2.9" w:anchor="P275" w:history="0">
        <w:r>
          <w:rPr>
            <w:color w:val="0000ff"/>
            <w:sz w:val="24"/>
          </w:rPr>
          <w:t xml:space="preserve">2.9</w:t>
        </w:r>
      </w:hyperlink>
      <w:r>
        <w:rPr>
          <w:sz w:val="24"/>
        </w:rPr>
        <w:t xml:space="preserve"> и </w:t>
      </w:r>
      <w:hyperlink w:tooltip="2.10" w:anchor="P285" w:history="0">
        <w:r>
          <w:rPr>
            <w:color w:val="0000ff"/>
            <w:sz w:val="24"/>
          </w:rPr>
          <w:t xml:space="preserve">2.10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самоуправления.</w:t>
      </w:r>
    </w:p>
    <w:bookmarkStart w:id="723" w:name="P723"/>
    <w:bookmarkEnd w:id="723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8. Итоговая сумма коэффициентов по </w:t>
      </w:r>
      <w:hyperlink w:tooltip="Раздел 3. Показатели, характеризующие выбранное направление практики" w:anchor="P295" w:history="0">
        <w:r>
          <w:rPr>
            <w:color w:val="0000ff"/>
            <w:sz w:val="24"/>
          </w:rPr>
          <w:t xml:space="preserve">разделу 3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 (К</w:t>
      </w:r>
      <w:r>
        <w:rPr>
          <w:sz w:val="24"/>
          <w:vertAlign w:val="subscript"/>
        </w:rPr>
        <w:t xml:space="preserve">3</w:t>
      </w:r>
      <w:r>
        <w:rPr>
          <w:sz w:val="24"/>
        </w:rPr>
        <w:t xml:space="preserve">), рассчитывается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80210" cy="514350"/>
                <wp:effectExtent l="0" t="0" r="0" b="0"/>
                <wp:docPr id="20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59">
                          <a:extLst>
                            <a:ext uri="{96DAC541-7B7A-43D3-8B79-37D633B846F1}">
                              <asvg:svgBlip xmlns:asvg="http://schemas.microsoft.com/office/drawing/2016/SVG/main" r:embed="rId6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68021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132.30pt;height:40.50pt;mso-wrap-distance-left:0.00pt;mso-wrap-distance-top:0.00pt;mso-wrap-distance-right:0.00pt;mso-wrap-distance-bottom:0.00pt;" stroked="f">
                <v:path textboxrect="0,0,0,0"/>
                <v:imagedata r:id="rId59" o:title=""/>
              </v:shape>
            </w:pict>
          </mc:Fallback>
        </mc:AlternateConten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31i</w:t>
      </w:r>
      <w:r>
        <w:rPr>
          <w:sz w:val="24"/>
        </w:rPr>
        <w:t xml:space="preserve"> - итоговая сумма коэффициентов по </w:t>
      </w:r>
      <w:hyperlink w:tooltip="Подраздел 3.1. Показатели, характеризующие направление практики &quot;Инвестиции&quot;" w:anchor="P296" w:history="0">
        <w:r>
          <w:rPr>
            <w:color w:val="0000ff"/>
            <w:sz w:val="24"/>
          </w:rPr>
          <w:t xml:space="preserve">подразделу 3.1 раздела 3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самоуправления, рассчитываемая по формулам, различающимся в зависимости от категории (I категория - муниципальные округа, городские округа (городские округа с внутригородским делением) и городские поселения, II категория - сельские поселения):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практик I категории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23360" cy="468630"/>
                <wp:effectExtent l="0" t="0" r="0" b="0"/>
                <wp:docPr id="2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61">
                          <a:extLst>
                            <a:ext uri="{96DAC541-7B7A-43D3-8B79-37D633B846F1}">
                              <asvg:svgBlip xmlns:asvg="http://schemas.microsoft.com/office/drawing/2016/SVG/main" r:embed="rId62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402336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316.80pt;height:36.90pt;mso-wrap-distance-left:0.00pt;mso-wrap-distance-top:0.00pt;mso-wrap-distance-right:0.00pt;mso-wrap-distance-bottom:0.00pt;" stroked="f">
                <v:path textboxrect="0,0,0,0"/>
                <v:imagedata r:id="rId61" o:title=""/>
              </v:shape>
            </w:pict>
          </mc:Fallback>
        </mc:AlternateConten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U</w:t>
      </w:r>
      <w:r>
        <w:rPr>
          <w:sz w:val="24"/>
          <w:vertAlign w:val="subscript"/>
        </w:rPr>
        <w:t xml:space="preserve">311i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312i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313i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314i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315i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316i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317i</w:t>
      </w:r>
      <w:r>
        <w:rPr>
          <w:sz w:val="24"/>
        </w:rPr>
        <w:t xml:space="preserve"> - индексы показателей, соответствующие </w:t>
      </w:r>
      <w:hyperlink w:tooltip="3.1.1" w:anchor="P298" w:history="0">
        <w:r>
          <w:rPr>
            <w:color w:val="0000ff"/>
            <w:sz w:val="24"/>
          </w:rPr>
          <w:t xml:space="preserve">пунктам 3.1.1</w:t>
        </w:r>
      </w:hyperlink>
      <w:r>
        <w:rPr>
          <w:sz w:val="24"/>
        </w:rPr>
        <w:t xml:space="preserve">, </w:t>
      </w:r>
      <w:hyperlink w:tooltip="3.1.2" w:anchor="P309" w:history="0">
        <w:r>
          <w:rPr>
            <w:color w:val="0000ff"/>
            <w:sz w:val="24"/>
          </w:rPr>
          <w:t xml:space="preserve">3.1.2</w:t>
        </w:r>
      </w:hyperlink>
      <w:r>
        <w:rPr>
          <w:sz w:val="24"/>
        </w:rPr>
        <w:t xml:space="preserve">, </w:t>
      </w:r>
      <w:hyperlink w:tooltip="3.1.3" w:anchor="P320" w:history="0">
        <w:r>
          <w:rPr>
            <w:color w:val="0000ff"/>
            <w:sz w:val="24"/>
          </w:rPr>
          <w:t xml:space="preserve">3.1.3</w:t>
        </w:r>
      </w:hyperlink>
      <w:r>
        <w:rPr>
          <w:sz w:val="24"/>
        </w:rPr>
        <w:t xml:space="preserve">, </w:t>
      </w:r>
      <w:hyperlink w:tooltip="3.1.4" w:anchor="P330" w:history="0">
        <w:r>
          <w:rPr>
            <w:color w:val="0000ff"/>
            <w:sz w:val="24"/>
          </w:rPr>
          <w:t xml:space="preserve">3.1.4</w:t>
        </w:r>
      </w:hyperlink>
      <w:r>
        <w:rPr>
          <w:sz w:val="24"/>
        </w:rPr>
        <w:t xml:space="preserve">, </w:t>
      </w:r>
      <w:hyperlink w:tooltip="3.1.5" w:anchor="P341" w:history="0">
        <w:r>
          <w:rPr>
            <w:color w:val="0000ff"/>
            <w:sz w:val="24"/>
          </w:rPr>
          <w:t xml:space="preserve">3.1.5</w:t>
        </w:r>
      </w:hyperlink>
      <w:r>
        <w:rPr>
          <w:sz w:val="24"/>
        </w:rPr>
        <w:t xml:space="preserve">, </w:t>
      </w:r>
      <w:hyperlink w:tooltip="3.1.6" w:anchor="P352" w:history="0">
        <w:r>
          <w:rPr>
            <w:color w:val="0000ff"/>
            <w:sz w:val="24"/>
          </w:rPr>
          <w:t xml:space="preserve">3.1.6</w:t>
        </w:r>
      </w:hyperlink>
      <w:r>
        <w:rPr>
          <w:sz w:val="24"/>
        </w:rPr>
        <w:t xml:space="preserve"> и </w:t>
      </w:r>
      <w:hyperlink w:tooltip="3.1.7" w:anchor="P378" w:history="0">
        <w:r>
          <w:rPr>
            <w:color w:val="0000ff"/>
            <w:sz w:val="24"/>
          </w:rPr>
          <w:t xml:space="preserve">3.1.7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практик II категории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509010" cy="468630"/>
                <wp:effectExtent l="0" t="0" r="0" b="0"/>
                <wp:docPr id="2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63">
                          <a:extLst>
                            <a:ext uri="{96DAC541-7B7A-43D3-8B79-37D633B846F1}">
                              <asvg:svgBlip xmlns:asvg="http://schemas.microsoft.com/office/drawing/2016/SVG/main" r:embed="rId64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350901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276.30pt;height:36.90pt;mso-wrap-distance-left:0.00pt;mso-wrap-distance-top:0.00pt;mso-wrap-distance-right:0.00pt;mso-wrap-distance-bottom:0.00pt;" stroked="f">
                <v:path textboxrect="0,0,0,0"/>
                <v:imagedata r:id="rId63" o:title=""/>
              </v:shape>
            </w:pict>
          </mc:Fallback>
        </mc:AlternateConten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U</w:t>
      </w:r>
      <w:r>
        <w:rPr>
          <w:sz w:val="24"/>
          <w:vertAlign w:val="subscript"/>
        </w:rPr>
        <w:t xml:space="preserve">311i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312i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313i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314i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315i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317i</w:t>
      </w:r>
      <w:r>
        <w:rPr>
          <w:sz w:val="24"/>
        </w:rPr>
        <w:t xml:space="preserve"> - индексы показателей, соответствующие </w:t>
      </w:r>
      <w:hyperlink w:tooltip="3.1.1" w:anchor="P298" w:history="0">
        <w:r>
          <w:rPr>
            <w:color w:val="0000ff"/>
            <w:sz w:val="24"/>
          </w:rPr>
          <w:t xml:space="preserve">пунктам 3.1.1</w:t>
        </w:r>
      </w:hyperlink>
      <w:r>
        <w:rPr>
          <w:sz w:val="24"/>
        </w:rPr>
        <w:t xml:space="preserve">, </w:t>
      </w:r>
      <w:hyperlink w:tooltip="3.1.2" w:anchor="P309" w:history="0">
        <w:r>
          <w:rPr>
            <w:color w:val="0000ff"/>
            <w:sz w:val="24"/>
          </w:rPr>
          <w:t xml:space="preserve">3.1.2</w:t>
        </w:r>
      </w:hyperlink>
      <w:r>
        <w:rPr>
          <w:sz w:val="24"/>
        </w:rPr>
        <w:t xml:space="preserve">, </w:t>
      </w:r>
      <w:hyperlink w:tooltip="3.1.3" w:anchor="P320" w:history="0">
        <w:r>
          <w:rPr>
            <w:color w:val="0000ff"/>
            <w:sz w:val="24"/>
          </w:rPr>
          <w:t xml:space="preserve">3.1.3</w:t>
        </w:r>
      </w:hyperlink>
      <w:r>
        <w:rPr>
          <w:sz w:val="24"/>
        </w:rPr>
        <w:t xml:space="preserve">, </w:t>
      </w:r>
      <w:hyperlink w:tooltip="3.1.4" w:anchor="P330" w:history="0">
        <w:r>
          <w:rPr>
            <w:color w:val="0000ff"/>
            <w:sz w:val="24"/>
          </w:rPr>
          <w:t xml:space="preserve">3.1.4</w:t>
        </w:r>
      </w:hyperlink>
      <w:r>
        <w:rPr>
          <w:sz w:val="24"/>
        </w:rPr>
        <w:t xml:space="preserve">, </w:t>
      </w:r>
      <w:hyperlink w:tooltip="3.1.5" w:anchor="P341" w:history="0">
        <w:r>
          <w:rPr>
            <w:color w:val="0000ff"/>
            <w:sz w:val="24"/>
          </w:rPr>
          <w:t xml:space="preserve">3.1.5</w:t>
        </w:r>
      </w:hyperlink>
      <w:r>
        <w:rPr>
          <w:sz w:val="24"/>
        </w:rPr>
        <w:t xml:space="preserve"> и </w:t>
      </w:r>
      <w:hyperlink w:tooltip="3.1.7" w:anchor="P378" w:history="0">
        <w:r>
          <w:rPr>
            <w:color w:val="0000ff"/>
            <w:sz w:val="24"/>
          </w:rPr>
          <w:t xml:space="preserve">3.1.7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32i</w:t>
      </w:r>
      <w:r>
        <w:rPr>
          <w:sz w:val="24"/>
        </w:rPr>
        <w:t xml:space="preserve"> - итоговая сумма коэффициентов по </w:t>
      </w:r>
      <w:hyperlink w:tooltip="Подраздел 3.2. Показатели, характеризующие направление практики &quot;Управление имуществом и инфраструктурой&quot;" w:anchor="P394" w:history="0">
        <w:r>
          <w:rPr>
            <w:color w:val="0000ff"/>
            <w:sz w:val="24"/>
          </w:rPr>
          <w:t xml:space="preserve">подразделу 3.2 раздела 3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самоуправления, рассчитываемая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5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26230" cy="788670"/>
                <wp:effectExtent l="0" t="0" r="0" b="0"/>
                <wp:docPr id="2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65">
                          <a:extLst>
                            <a:ext uri="{96DAC541-7B7A-43D3-8B79-37D633B846F1}">
                              <asvg:svgBlip xmlns:asvg="http://schemas.microsoft.com/office/drawing/2016/SVG/main" r:embed="rId66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4126230" cy="788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324.90pt;height:62.10pt;mso-wrap-distance-left:0.00pt;mso-wrap-distance-top:0.00pt;mso-wrap-distance-right:0.00pt;mso-wrap-distance-bottom:0.00pt;" stroked="f">
                <v:path textboxrect="0,0,0,0"/>
                <v:imagedata r:id="rId65" o:title=""/>
              </v:shape>
            </w:pict>
          </mc:Fallback>
        </mc:AlternateConten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Крег - оценка конкурсной заявки на региональном этапе;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U</w:t>
      </w:r>
      <w:r>
        <w:rPr>
          <w:sz w:val="24"/>
          <w:vertAlign w:val="subscript"/>
        </w:rPr>
        <w:t xml:space="preserve">321i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322i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323i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324i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325i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326i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327i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328i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329i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3210i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3211i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3212i</w:t>
      </w:r>
      <w:r>
        <w:rPr>
          <w:sz w:val="24"/>
        </w:rPr>
        <w:t xml:space="preserve"> - индексы показателей, соответствующие </w:t>
      </w:r>
      <w:hyperlink w:tooltip="3.2.1" w:anchor="P396" w:history="0">
        <w:r>
          <w:rPr>
            <w:color w:val="0000ff"/>
            <w:sz w:val="24"/>
          </w:rPr>
          <w:t xml:space="preserve">пунктам 3.2.1</w:t>
        </w:r>
      </w:hyperlink>
      <w:r>
        <w:rPr>
          <w:sz w:val="24"/>
        </w:rPr>
        <w:t xml:space="preserve">, </w:t>
      </w:r>
      <w:hyperlink w:tooltip="3.2.2" w:anchor="P404" w:history="0">
        <w:r>
          <w:rPr>
            <w:color w:val="0000ff"/>
            <w:sz w:val="24"/>
          </w:rPr>
          <w:t xml:space="preserve">3.2.2</w:t>
        </w:r>
      </w:hyperlink>
      <w:r>
        <w:rPr>
          <w:sz w:val="24"/>
        </w:rPr>
        <w:t xml:space="preserve">, </w:t>
      </w:r>
      <w:hyperlink w:tooltip="3.2.3" w:anchor="P415" w:history="0">
        <w:r>
          <w:rPr>
            <w:color w:val="0000ff"/>
            <w:sz w:val="24"/>
          </w:rPr>
          <w:t xml:space="preserve">3.2.3</w:t>
        </w:r>
      </w:hyperlink>
      <w:r>
        <w:rPr>
          <w:sz w:val="24"/>
        </w:rPr>
        <w:t xml:space="preserve">, </w:t>
      </w:r>
      <w:hyperlink w:tooltip="3.2.4" w:anchor="P425" w:history="0">
        <w:r>
          <w:rPr>
            <w:color w:val="0000ff"/>
            <w:sz w:val="24"/>
          </w:rPr>
          <w:t xml:space="preserve">3.2.4</w:t>
        </w:r>
      </w:hyperlink>
      <w:r>
        <w:rPr>
          <w:sz w:val="24"/>
        </w:rPr>
        <w:t xml:space="preserve">, </w:t>
      </w:r>
      <w:hyperlink w:tooltip="3.2.5" w:anchor="P436" w:history="0">
        <w:r>
          <w:rPr>
            <w:color w:val="0000ff"/>
            <w:sz w:val="24"/>
          </w:rPr>
          <w:t xml:space="preserve">3.2.5</w:t>
        </w:r>
      </w:hyperlink>
      <w:r>
        <w:rPr>
          <w:sz w:val="24"/>
        </w:rPr>
        <w:t xml:space="preserve">, </w:t>
      </w:r>
      <w:hyperlink w:tooltip="3.2.6" w:anchor="P446" w:history="0">
        <w:r>
          <w:rPr>
            <w:color w:val="0000ff"/>
            <w:sz w:val="24"/>
          </w:rPr>
          <w:t xml:space="preserve">3.2.6</w:t>
        </w:r>
      </w:hyperlink>
      <w:r>
        <w:rPr>
          <w:sz w:val="24"/>
        </w:rPr>
        <w:t xml:space="preserve">, </w:t>
      </w:r>
      <w:hyperlink w:tooltip="3.2.7" w:anchor="P457" w:history="0">
        <w:r>
          <w:rPr>
            <w:color w:val="0000ff"/>
            <w:sz w:val="24"/>
          </w:rPr>
          <w:t xml:space="preserve">3.2.7</w:t>
        </w:r>
      </w:hyperlink>
      <w:r>
        <w:rPr>
          <w:sz w:val="24"/>
        </w:rPr>
        <w:t xml:space="preserve">, </w:t>
      </w:r>
      <w:hyperlink w:tooltip="3.2.8" w:anchor="P468" w:history="0">
        <w:r>
          <w:rPr>
            <w:color w:val="0000ff"/>
            <w:sz w:val="24"/>
          </w:rPr>
          <w:t xml:space="preserve">3.2.8</w:t>
        </w:r>
      </w:hyperlink>
      <w:r>
        <w:rPr>
          <w:sz w:val="24"/>
        </w:rPr>
        <w:t xml:space="preserve">, </w:t>
      </w:r>
      <w:hyperlink w:tooltip="3.2.9" w:anchor="P478" w:history="0">
        <w:r>
          <w:rPr>
            <w:color w:val="0000ff"/>
            <w:sz w:val="24"/>
          </w:rPr>
          <w:t xml:space="preserve">3.2.9</w:t>
        </w:r>
      </w:hyperlink>
      <w:r>
        <w:rPr>
          <w:sz w:val="24"/>
        </w:rPr>
        <w:t xml:space="preserve">, </w:t>
      </w:r>
      <w:hyperlink w:tooltip="3.2.10" w:anchor="P488" w:history="0">
        <w:r>
          <w:rPr>
            <w:color w:val="0000ff"/>
            <w:sz w:val="24"/>
          </w:rPr>
          <w:t xml:space="preserve">3.2.10</w:t>
        </w:r>
      </w:hyperlink>
      <w:r>
        <w:rPr>
          <w:sz w:val="24"/>
        </w:rPr>
        <w:t xml:space="preserve">, </w:t>
      </w:r>
      <w:hyperlink w:tooltip="3.2.11" w:anchor="P492" w:history="0">
        <w:r>
          <w:rPr>
            <w:color w:val="0000ff"/>
            <w:sz w:val="24"/>
          </w:rPr>
          <w:t xml:space="preserve">3.2.11</w:t>
        </w:r>
      </w:hyperlink>
      <w:r>
        <w:rPr>
          <w:sz w:val="24"/>
        </w:rPr>
        <w:t xml:space="preserve">, </w:t>
      </w:r>
      <w:hyperlink w:tooltip="3.2.12" w:anchor="P496" w:history="0">
        <w:r>
          <w:rPr>
            <w:color w:val="0000ff"/>
            <w:sz w:val="24"/>
          </w:rPr>
          <w:t xml:space="preserve">3.2.12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33i</w:t>
      </w:r>
      <w:r>
        <w:rPr>
          <w:sz w:val="24"/>
        </w:rPr>
        <w:t xml:space="preserve"> - итоговая сумма коэффициентов по </w:t>
      </w:r>
      <w:hyperlink w:tooltip="Подраздел 3.3. Показатели, характеризующие направление практики &quot;Новые источники доходов бюджета и управление муниципальными заимствованиями&quot;" w:anchor="P500" w:history="0">
        <w:r>
          <w:rPr>
            <w:color w:val="0000ff"/>
            <w:sz w:val="24"/>
          </w:rPr>
          <w:t xml:space="preserve">подразделу 3.3 раздела 3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самоуправления, рассчитываемая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4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00550" cy="765810"/>
                <wp:effectExtent l="0" t="0" r="0" b="0"/>
                <wp:docPr id="2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67">
                          <a:extLst>
                            <a:ext uri="{96DAC541-7B7A-43D3-8B79-37D633B846F1}">
                              <asvg:svgBlip xmlns:asvg="http://schemas.microsoft.com/office/drawing/2016/SVG/main" r:embed="rId68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4400550" cy="765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346.50pt;height:60.30pt;mso-wrap-distance-left:0.00pt;mso-wrap-distance-top:0.00pt;mso-wrap-distance-right:0.00pt;mso-wrap-distance-bottom:0.00pt;" stroked="f">
                <v:path textboxrect="0,0,0,0"/>
                <v:imagedata r:id="rId67" o:title=""/>
              </v:shape>
            </w:pict>
          </mc:Fallback>
        </mc:AlternateConten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U</w:t>
      </w:r>
      <w:r>
        <w:rPr>
          <w:sz w:val="24"/>
          <w:vertAlign w:val="subscript"/>
        </w:rPr>
        <w:t xml:space="preserve">331i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332i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333i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334i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335i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336i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337i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338i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339i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3310i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3311i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3312i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3313i</w:t>
      </w:r>
      <w:r>
        <w:rPr>
          <w:sz w:val="24"/>
        </w:rPr>
        <w:t xml:space="preserve">, U</w:t>
      </w:r>
      <w:r>
        <w:rPr>
          <w:sz w:val="24"/>
          <w:vertAlign w:val="subscript"/>
        </w:rPr>
        <w:t xml:space="preserve">3314i</w:t>
      </w:r>
      <w:r>
        <w:rPr>
          <w:sz w:val="24"/>
        </w:rPr>
        <w:t xml:space="preserve"> - индексы показателей, соответствующие </w:t>
      </w:r>
      <w:hyperlink w:tooltip="3.3.1" w:anchor="P502" w:history="0">
        <w:r>
          <w:rPr>
            <w:color w:val="0000ff"/>
            <w:sz w:val="24"/>
          </w:rPr>
          <w:t xml:space="preserve">пунктам 3.3.1</w:t>
        </w:r>
      </w:hyperlink>
      <w:r>
        <w:rPr>
          <w:sz w:val="24"/>
        </w:rPr>
        <w:t xml:space="preserve">, </w:t>
      </w:r>
      <w:hyperlink w:tooltip="3.3.2" w:anchor="P512" w:history="0">
        <w:r>
          <w:rPr>
            <w:color w:val="0000ff"/>
            <w:sz w:val="24"/>
          </w:rPr>
          <w:t xml:space="preserve">3.3.2</w:t>
        </w:r>
      </w:hyperlink>
      <w:r>
        <w:rPr>
          <w:sz w:val="24"/>
        </w:rPr>
        <w:t xml:space="preserve">, </w:t>
      </w:r>
      <w:hyperlink w:tooltip="3.3.3" w:anchor="P522" w:history="0">
        <w:r>
          <w:rPr>
            <w:color w:val="0000ff"/>
            <w:sz w:val="24"/>
          </w:rPr>
          <w:t xml:space="preserve">3.3.3</w:t>
        </w:r>
      </w:hyperlink>
      <w:r>
        <w:rPr>
          <w:sz w:val="24"/>
        </w:rPr>
        <w:t xml:space="preserve">, </w:t>
      </w:r>
      <w:hyperlink w:tooltip="3.3.4" w:anchor="P526" w:history="0">
        <w:r>
          <w:rPr>
            <w:color w:val="0000ff"/>
            <w:sz w:val="24"/>
          </w:rPr>
          <w:t xml:space="preserve">3.3.4</w:t>
        </w:r>
      </w:hyperlink>
      <w:r>
        <w:rPr>
          <w:sz w:val="24"/>
        </w:rPr>
        <w:t xml:space="preserve">, </w:t>
      </w:r>
      <w:hyperlink w:tooltip="3.3.5" w:anchor="P537" w:history="0">
        <w:r>
          <w:rPr>
            <w:color w:val="0000ff"/>
            <w:sz w:val="24"/>
          </w:rPr>
          <w:t xml:space="preserve">3.3.5</w:t>
        </w:r>
      </w:hyperlink>
      <w:r>
        <w:rPr>
          <w:sz w:val="24"/>
        </w:rPr>
        <w:t xml:space="preserve">, </w:t>
      </w:r>
      <w:hyperlink w:tooltip="3.3.6" w:anchor="P547" w:history="0">
        <w:r>
          <w:rPr>
            <w:color w:val="0000ff"/>
            <w:sz w:val="24"/>
          </w:rPr>
          <w:t xml:space="preserve">3.3.6</w:t>
        </w:r>
      </w:hyperlink>
      <w:r>
        <w:rPr>
          <w:sz w:val="24"/>
        </w:rPr>
        <w:t xml:space="preserve">, </w:t>
      </w:r>
      <w:hyperlink w:tooltip="3.3.7" w:anchor="P558" w:history="0">
        <w:r>
          <w:rPr>
            <w:color w:val="0000ff"/>
            <w:sz w:val="24"/>
          </w:rPr>
          <w:t xml:space="preserve">3.3.7</w:t>
        </w:r>
      </w:hyperlink>
      <w:r>
        <w:rPr>
          <w:sz w:val="24"/>
        </w:rPr>
        <w:t xml:space="preserve">, </w:t>
      </w:r>
      <w:hyperlink w:tooltip="3.3.8" w:anchor="P568" w:history="0">
        <w:r>
          <w:rPr>
            <w:color w:val="0000ff"/>
            <w:sz w:val="24"/>
          </w:rPr>
          <w:t xml:space="preserve">3.3.8</w:t>
        </w:r>
      </w:hyperlink>
      <w:r>
        <w:rPr>
          <w:sz w:val="24"/>
        </w:rPr>
        <w:t xml:space="preserve">, </w:t>
      </w:r>
      <w:hyperlink w:tooltip="3.3.9" w:anchor="P574" w:history="0">
        <w:r>
          <w:rPr>
            <w:color w:val="0000ff"/>
            <w:sz w:val="24"/>
          </w:rPr>
          <w:t xml:space="preserve">3.3.9</w:t>
        </w:r>
      </w:hyperlink>
      <w:r>
        <w:rPr>
          <w:sz w:val="24"/>
        </w:rPr>
        <w:t xml:space="preserve">, </w:t>
      </w:r>
      <w:hyperlink w:tooltip="3.3.10" w:anchor="P586" w:history="0">
        <w:r>
          <w:rPr>
            <w:color w:val="0000ff"/>
            <w:sz w:val="24"/>
          </w:rPr>
          <w:t xml:space="preserve">3.3.10</w:t>
        </w:r>
      </w:hyperlink>
      <w:r>
        <w:rPr>
          <w:sz w:val="24"/>
        </w:rPr>
        <w:t xml:space="preserve">, </w:t>
      </w:r>
      <w:hyperlink w:tooltip="3.3.11" w:anchor="P596" w:history="0">
        <w:r>
          <w:rPr>
            <w:color w:val="0000ff"/>
            <w:sz w:val="24"/>
          </w:rPr>
          <w:t xml:space="preserve">3.3.11</w:t>
        </w:r>
      </w:hyperlink>
      <w:r>
        <w:rPr>
          <w:sz w:val="24"/>
        </w:rPr>
        <w:t xml:space="preserve">, </w:t>
      </w:r>
      <w:hyperlink w:tooltip="3.3.12" w:anchor="P606" w:history="0">
        <w:r>
          <w:rPr>
            <w:color w:val="0000ff"/>
            <w:sz w:val="24"/>
          </w:rPr>
          <w:t xml:space="preserve">3.3.12</w:t>
        </w:r>
      </w:hyperlink>
      <w:r>
        <w:rPr>
          <w:sz w:val="24"/>
        </w:rPr>
        <w:t xml:space="preserve">, </w:t>
      </w:r>
      <w:hyperlink w:tooltip="3.3.13" w:anchor="P616" w:history="0">
        <w:r>
          <w:rPr>
            <w:color w:val="0000ff"/>
            <w:sz w:val="24"/>
          </w:rPr>
          <w:t xml:space="preserve">3.3.13</w:t>
        </w:r>
      </w:hyperlink>
      <w:r>
        <w:rPr>
          <w:sz w:val="24"/>
        </w:rPr>
        <w:t xml:space="preserve"> и </w:t>
      </w:r>
      <w:hyperlink w:tooltip="3.3.14" w:anchor="P626" w:history="0">
        <w:r>
          <w:rPr>
            <w:color w:val="0000ff"/>
            <w:sz w:val="24"/>
          </w:rPr>
          <w:t xml:space="preserve">3.3.14</w:t>
        </w:r>
      </w:hyperlink>
      <w:r>
        <w:rPr>
          <w:sz w:val="24"/>
        </w:rPr>
        <w:t xml:space="preserve"> показателей, характеризующих деятельность органа местного самоуправления;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A</w:t>
      </w:r>
      <w:r>
        <w:rPr>
          <w:sz w:val="24"/>
          <w:vertAlign w:val="subscript"/>
        </w:rPr>
        <w:t xml:space="preserve">31i</w:t>
      </w:r>
      <w:r>
        <w:rPr>
          <w:sz w:val="24"/>
        </w:rPr>
        <w:t xml:space="preserve"> - коэффициент, равный 1, если конкурсная заявка i-го муниципального образования подана по направлению "Инвестиции", 0 - в противном случае;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A</w:t>
      </w:r>
      <w:r>
        <w:rPr>
          <w:sz w:val="24"/>
          <w:vertAlign w:val="subscript"/>
        </w:rPr>
        <w:t xml:space="preserve">32i</w:t>
      </w:r>
      <w:r>
        <w:rPr>
          <w:sz w:val="24"/>
        </w:rPr>
        <w:t xml:space="preserve"> - коэффициент, равный 1, если конкурсная заявка i-го муниципального образования подана по направлению "Управление имуществом и инфраструктурой", 0 - в противном случае;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A</w:t>
      </w:r>
      <w:r>
        <w:rPr>
          <w:sz w:val="24"/>
          <w:vertAlign w:val="subscript"/>
        </w:rPr>
        <w:t xml:space="preserve">33i</w:t>
      </w:r>
      <w:r>
        <w:rPr>
          <w:sz w:val="24"/>
        </w:rPr>
        <w:t xml:space="preserve"> - коэффициент, равный 1, если конкурсная заявка i-го муниципального образования подана по направлению "Новые источники доходов бюджета и управление муниципальными заимствованиями", 0 - в противном случае.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9. Конкурсные заявки, поступившие в комиссию, распределяются по каждой категории участников конкурса с использованием формул, предусмотренных </w:t>
      </w:r>
      <w:hyperlink w:tooltip="4. Индексы определяются с учетом следующего:" w:anchor="P683" w:history="0">
        <w:r>
          <w:rPr>
            <w:color w:val="0000ff"/>
            <w:sz w:val="24"/>
          </w:rPr>
          <w:t xml:space="preserve">пунктами 4</w:t>
        </w:r>
      </w:hyperlink>
      <w:r>
        <w:rPr>
          <w:sz w:val="24"/>
        </w:rPr>
        <w:t xml:space="preserve">, </w:t>
      </w:r>
      <w:hyperlink w:tooltip="5. Итоговая сумма баллов конкурсной заявки (Крегi) определяется по следующей формуле:" w:anchor="P702" w:history="0">
        <w:r>
          <w:rPr>
            <w:color w:val="0000ff"/>
            <w:sz w:val="24"/>
          </w:rPr>
          <w:t xml:space="preserve">5</w:t>
        </w:r>
      </w:hyperlink>
      <w:r>
        <w:rPr>
          <w:sz w:val="24"/>
        </w:rPr>
        <w:t xml:space="preserve">, </w:t>
      </w:r>
      <w:hyperlink w:tooltip="6. Итоговая сумма коэффициентов по разделу 1 показателей, характеризующих деятельность органа местного самоуправления (К1i), рассчитывается по формуле:" w:anchor="P711" w:history="0">
        <w:r>
          <w:rPr>
            <w:color w:val="0000ff"/>
            <w:sz w:val="24"/>
          </w:rPr>
          <w:t xml:space="preserve">6</w:t>
        </w:r>
      </w:hyperlink>
      <w:r>
        <w:rPr>
          <w:sz w:val="24"/>
        </w:rPr>
        <w:t xml:space="preserve">, </w:t>
      </w:r>
      <w:hyperlink w:tooltip="7. Итоговая сумма коэффициентов по разделу 2 показателей, характеризующих деятельность органа местного самоуправления (К2i), рассчитывается по формуле:" w:anchor="P717" w:history="0">
        <w:r>
          <w:rPr>
            <w:color w:val="0000ff"/>
            <w:sz w:val="24"/>
          </w:rPr>
          <w:t xml:space="preserve">7</w:t>
        </w:r>
      </w:hyperlink>
      <w:r>
        <w:rPr>
          <w:sz w:val="24"/>
        </w:rPr>
        <w:t xml:space="preserve">, </w:t>
      </w:r>
      <w:hyperlink w:tooltip="8. Итоговая сумма коэффициентов по разделу 3 показателей, характеризующих деятельность органа местного самоуправления (К3), рассчитывается по формуле:" w:anchor="P723" w:history="0">
        <w:r>
          <w:rPr>
            <w:color w:val="0000ff"/>
            <w:sz w:val="24"/>
          </w:rPr>
          <w:t xml:space="preserve">8</w:t>
        </w:r>
      </w:hyperlink>
      <w:r>
        <w:rPr>
          <w:sz w:val="24"/>
        </w:rPr>
        <w:t xml:space="preserve"> настоящей Методики, по убыванию количества набранных баллов.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10. Оценка конкурсных заявок на федеральном этапе конкурса осуществляется в отношении 25 муниципальных образований в каждой категории участников конкурса, набравших в соответствии с </w:t>
      </w:r>
      <w:hyperlink w:tooltip="5. Итоговая сумма баллов конкурсной заявки (Крегi) определяется по следующей формуле:" w:anchor="P702" w:history="0">
        <w:r>
          <w:rPr>
            <w:color w:val="0000ff"/>
            <w:sz w:val="24"/>
          </w:rPr>
          <w:t xml:space="preserve">пунктом 5</w:t>
        </w:r>
      </w:hyperlink>
      <w:r>
        <w:rPr>
          <w:sz w:val="24"/>
        </w:rPr>
        <w:t xml:space="preserve"> настоящей Методики наибольшее количество баллов.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Оценка конкурсных заявок на федеральном этапе конкурса (Кфед) рассчитывается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Кфед = Ксчет + 0,1 x Оэ,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Кфед - оценка конкурсной заявки на федеральном этапе;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Ксчет - количественная оценка конкурсной заявки, рассчитываемая идентично оценке конкурсной заявки на региональном этапе;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Оэ - значение качественной экспертной оценки конкурсной заявки, проводимой согласно </w:t>
      </w:r>
      <w:hyperlink w:tooltip="11. Экспертная оценка осуществляется в соответствии с экспертными мнениями простого большинства членов подкомиссии федеральной конкурсной комиссии по организации и проведению Всероссийского конкурса &quot;Лучшая муниципальная практика&quot; по номинации &quot;Повышение эффективности управления территорией муниципального образования&quot; (Оэi) (далее - подкомиссия) следующим образом:" w:anchor="P767" w:history="0">
        <w:r>
          <w:rPr>
            <w:color w:val="0000ff"/>
            <w:sz w:val="24"/>
          </w:rPr>
          <w:t xml:space="preserve">пунктам 11</w:t>
        </w:r>
      </w:hyperlink>
      <w:r>
        <w:rPr>
          <w:sz w:val="24"/>
        </w:rPr>
        <w:t xml:space="preserve"> и </w:t>
      </w:r>
      <w:hyperlink w:tooltip="12. При выставлении экспертной оценки членами подкомиссии учитываются следующие факторы:" w:anchor="P776" w:history="0">
        <w:r>
          <w:rPr>
            <w:color w:val="0000ff"/>
            <w:sz w:val="24"/>
          </w:rPr>
          <w:t xml:space="preserve">12</w:t>
        </w:r>
      </w:hyperlink>
      <w:r>
        <w:rPr>
          <w:sz w:val="24"/>
        </w:rPr>
        <w:t xml:space="preserve"> настоящей Методики (далее - экспертная оценка).</w:t>
      </w:r>
    </w:p>
    <w:bookmarkStart w:id="767" w:name="P767"/>
    <w:bookmarkEnd w:id="767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11. Экспертная оценка осуществляется в соответствии с экспертными мнениями простого большинства членов подкомиссии федеральной конкурсной комиссии по организации и проведению Всероссийского конкурса "Лучшая муниципальная практика" по номинации "Повышение эффективности управления территорией муниципального образования" (Оэ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 (далее - подкомиссия) следующим образом: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051560" cy="514350"/>
                <wp:effectExtent l="0" t="0" r="0" b="0"/>
                <wp:docPr id="2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69">
                          <a:extLst>
                            <a:ext uri="{96DAC541-7B7A-43D3-8B79-37D633B846F1}">
                              <asvg:svgBlip xmlns:asvg="http://schemas.microsoft.com/office/drawing/2016/SVG/main" r:embed="rId7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05156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82.80pt;height:40.50pt;mso-wrap-distance-left:0.00pt;mso-wrap-distance-top:0.00pt;mso-wrap-distance-right:0.00pt;mso-wrap-distance-bottom:0.00pt;" stroked="f">
                <v:path textboxrect="0,0,0,0"/>
                <v:imagedata r:id="rId69" o:title=""/>
              </v:shape>
            </w:pict>
          </mc:Fallback>
        </mc:AlternateConten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N - общее число опросных листов, заполненных членами подкомиссии;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P</w:t>
      </w:r>
      <w:r>
        <w:rPr>
          <w:sz w:val="24"/>
          <w:vertAlign w:val="subscript"/>
        </w:rPr>
        <w:t xml:space="preserve">j</w:t>
      </w:r>
      <w:r>
        <w:rPr>
          <w:sz w:val="24"/>
        </w:rPr>
        <w:t xml:space="preserve"> - значение экспертной оценки конкурсной заявки j-м членом подкомиссии (от 1 до 10 баллов; при этом лучшей, по мнению j-го члена подкомиссии, конкурсной заявке присваивается наибольшее количество баллов).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Выставление экспертной оценки осуществляется членами подкомиссии после ознакомления с презентацией конкурсной заявки, а также приобщенным к ней кратким описанием практики.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Конкурсные заявки, в презентации которых не содержится примеров практики повышения эффективности управления территорией в муниципальном образовании, не подлежат экспертной оценке.</w:t>
      </w:r>
    </w:p>
    <w:bookmarkStart w:id="776" w:name="P776"/>
    <w:bookmarkEnd w:id="776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12. При выставлении экспертной оценки членами подкомиссии учитываются следующие факторы: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исходные предпосылки реализации практики и принципиальные подходы, избранные при разработке и внедрении практики;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реализация практики способствовала росту инвестиционной привлекательности муниципального образования, предпринимательской активности, благосостояния населения, росту налоговых и неналоговых доходов бюджета, эффективному управлению муниципальными заимствованиями;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в) уникальные преимущества и сильные стороны практики, выделяющие ее из ряда подобных;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г) алгоритмы (последовательность) действия по внедрению практики;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д) ресурсы (материальные и нематериальные средства), которые необходимы для реализации практики;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е) возможность повторения (тиражирования) практики в других муниципальных образованиях;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ж) риски, которые необходимо принять во внимание при использовании практики.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13. Определение победителей конкурса по номинации "Повышение эффективности управления территорией муниципального образования", среди которых распределяются первое - пятое места победителей конкурса, набравших наибольшее количество баллов в соответствии с </w:t>
      </w:r>
      <w:hyperlink w:tooltip="6. Итоговая сумма коэффициентов по разделу 1 показателей, характеризующих деятельность органа местного самоуправления (К1i), рассчитывается по формуле:" w:anchor="P711" w:history="0">
        <w:r>
          <w:rPr>
            <w:color w:val="0000ff"/>
            <w:sz w:val="24"/>
          </w:rPr>
          <w:t xml:space="preserve">пунктом 6</w:t>
        </w:r>
      </w:hyperlink>
      <w:r>
        <w:rPr>
          <w:sz w:val="24"/>
        </w:rPr>
        <w:t xml:space="preserve"> настоящей Методики, осуществляется комиссией.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604050402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yperlink" Target="http://172.30.45.4/cons/cgi/online.cgi?req=doc&amp;base=LAW&amp;n=505294&amp;date=19.05.2026&amp;dst=64&amp;field=134" TargetMode="External"/><Relationship Id="rId7" Type="http://schemas.openxmlformats.org/officeDocument/2006/relationships/hyperlink" Target="http://172.30.45.4/cons/cgi/online.cgi?req=doc&amp;base=LAW&amp;n=533493&amp;date=19.05.2026&amp;dst=766&amp;field=134" TargetMode="External"/><Relationship Id="rId8" Type="http://schemas.openxmlformats.org/officeDocument/2006/relationships/hyperlink" Target="http://172.30.45.4/cons/cgi/online.cgi?req=doc&amp;base=LAW&amp;n=360522&amp;date=19.05.2026" TargetMode="External"/><Relationship Id="rId9" Type="http://schemas.openxmlformats.org/officeDocument/2006/relationships/hyperlink" Target="http://172.30.45.4/cons/cgi/online.cgi?req=doc&amp;base=LAW&amp;n=505294&amp;date=19.05.2026" TargetMode="External"/><Relationship Id="rId10" Type="http://schemas.openxmlformats.org/officeDocument/2006/relationships/image" Target="media/image1.wmf"/><Relationship Id="rId11" Type="http://schemas.openxmlformats.org/officeDocument/2006/relationships/image" Target="media/media1.svg"/><Relationship Id="rId12" Type="http://schemas.openxmlformats.org/officeDocument/2006/relationships/image" Target="media/image2.wmf"/><Relationship Id="rId13" Type="http://schemas.openxmlformats.org/officeDocument/2006/relationships/image" Target="media/media2.svg"/><Relationship Id="rId14" Type="http://schemas.openxmlformats.org/officeDocument/2006/relationships/image" Target="media/image3.wmf"/><Relationship Id="rId15" Type="http://schemas.openxmlformats.org/officeDocument/2006/relationships/image" Target="media/media3.svg"/><Relationship Id="rId16" Type="http://schemas.openxmlformats.org/officeDocument/2006/relationships/image" Target="media/image4.wmf"/><Relationship Id="rId17" Type="http://schemas.openxmlformats.org/officeDocument/2006/relationships/image" Target="media/media4.svg"/><Relationship Id="rId18" Type="http://schemas.openxmlformats.org/officeDocument/2006/relationships/image" Target="media/image5.wmf"/><Relationship Id="rId19" Type="http://schemas.openxmlformats.org/officeDocument/2006/relationships/image" Target="media/media5.svg"/><Relationship Id="rId20" Type="http://schemas.openxmlformats.org/officeDocument/2006/relationships/image" Target="media/image6.wmf"/><Relationship Id="rId21" Type="http://schemas.openxmlformats.org/officeDocument/2006/relationships/image" Target="media/media6.svg"/><Relationship Id="rId22" Type="http://schemas.openxmlformats.org/officeDocument/2006/relationships/hyperlink" Target="http://172.30.45.4/cons/cgi/online.cgi?req=doc&amp;base=LAW&amp;n=495710&amp;date=19.05.2026" TargetMode="External"/><Relationship Id="rId23" Type="http://schemas.openxmlformats.org/officeDocument/2006/relationships/hyperlink" Target="http://172.30.45.4/cons/cgi/online.cgi?req=doc&amp;base=LAW&amp;n=495710&amp;date=19.05.2026&amp;dst=300&amp;field=134" TargetMode="External"/><Relationship Id="rId24" Type="http://schemas.openxmlformats.org/officeDocument/2006/relationships/hyperlink" Target="http://172.30.45.4/cons/cgi/online.cgi?req=doc&amp;base=LAW&amp;n=532255&amp;date=19.05.2026" TargetMode="External"/><Relationship Id="rId25" Type="http://schemas.openxmlformats.org/officeDocument/2006/relationships/image" Target="media/image7.wmf"/><Relationship Id="rId26" Type="http://schemas.openxmlformats.org/officeDocument/2006/relationships/image" Target="media/media7.svg"/><Relationship Id="rId27" Type="http://schemas.openxmlformats.org/officeDocument/2006/relationships/image" Target="media/image8.wmf"/><Relationship Id="rId28" Type="http://schemas.openxmlformats.org/officeDocument/2006/relationships/image" Target="media/media8.svg"/><Relationship Id="rId29" Type="http://schemas.openxmlformats.org/officeDocument/2006/relationships/image" Target="media/image9.wmf"/><Relationship Id="rId30" Type="http://schemas.openxmlformats.org/officeDocument/2006/relationships/image" Target="media/media9.svg"/><Relationship Id="rId31" Type="http://schemas.openxmlformats.org/officeDocument/2006/relationships/image" Target="media/image10.wmf"/><Relationship Id="rId32" Type="http://schemas.openxmlformats.org/officeDocument/2006/relationships/image" Target="media/media10.svg"/><Relationship Id="rId33" Type="http://schemas.openxmlformats.org/officeDocument/2006/relationships/image" Target="media/image11.wmf"/><Relationship Id="rId34" Type="http://schemas.openxmlformats.org/officeDocument/2006/relationships/image" Target="media/media11.svg"/><Relationship Id="rId35" Type="http://schemas.openxmlformats.org/officeDocument/2006/relationships/image" Target="media/image12.wmf"/><Relationship Id="rId36" Type="http://schemas.openxmlformats.org/officeDocument/2006/relationships/image" Target="media/media12.svg"/><Relationship Id="rId37" Type="http://schemas.openxmlformats.org/officeDocument/2006/relationships/image" Target="media/image13.wmf"/><Relationship Id="rId38" Type="http://schemas.openxmlformats.org/officeDocument/2006/relationships/image" Target="media/media13.svg"/><Relationship Id="rId39" Type="http://schemas.openxmlformats.org/officeDocument/2006/relationships/hyperlink" Target="http://172.30.45.4/cons/cgi/online.cgi?req=doc&amp;base=LAW&amp;n=529197&amp;date=19.05.2026&amp;dst=102708&amp;field=134" TargetMode="External"/><Relationship Id="rId40" Type="http://schemas.openxmlformats.org/officeDocument/2006/relationships/hyperlink" Target="http://172.30.45.4/cons/cgi/online.cgi?req=doc&amp;base=LAW&amp;n=529197&amp;date=19.05.2026&amp;dst=102809&amp;field=134" TargetMode="External"/><Relationship Id="rId41" Type="http://schemas.openxmlformats.org/officeDocument/2006/relationships/image" Target="media/image14.wmf"/><Relationship Id="rId42" Type="http://schemas.openxmlformats.org/officeDocument/2006/relationships/image" Target="media/media14.svg"/><Relationship Id="rId43" Type="http://schemas.openxmlformats.org/officeDocument/2006/relationships/hyperlink" Target="http://172.30.45.4/cons/cgi/online.cgi?req=doc&amp;base=LAW&amp;n=529197&amp;date=19.05.2026&amp;dst=102708&amp;field=134" TargetMode="External"/><Relationship Id="rId44" Type="http://schemas.openxmlformats.org/officeDocument/2006/relationships/hyperlink" Target="http://172.30.45.4/cons/cgi/online.cgi?req=doc&amp;base=LAW&amp;n=529197&amp;date=19.05.2026&amp;dst=102809&amp;field=134" TargetMode="External"/><Relationship Id="rId45" Type="http://schemas.openxmlformats.org/officeDocument/2006/relationships/image" Target="media/image15.wmf"/><Relationship Id="rId46" Type="http://schemas.openxmlformats.org/officeDocument/2006/relationships/image" Target="media/media15.svg"/><Relationship Id="rId47" Type="http://schemas.openxmlformats.org/officeDocument/2006/relationships/image" Target="media/image16.wmf"/><Relationship Id="rId48" Type="http://schemas.openxmlformats.org/officeDocument/2006/relationships/image" Target="media/media16.svg"/><Relationship Id="rId49" Type="http://schemas.openxmlformats.org/officeDocument/2006/relationships/image" Target="media/image17.wmf"/><Relationship Id="rId50" Type="http://schemas.openxmlformats.org/officeDocument/2006/relationships/image" Target="media/media17.svg"/><Relationship Id="rId51" Type="http://schemas.openxmlformats.org/officeDocument/2006/relationships/hyperlink" Target="http://172.30.45.4/cons/cgi/online.cgi?req=doc&amp;base=LAW&amp;n=471425&amp;date=19.05.2026" TargetMode="External"/><Relationship Id="rId52" Type="http://schemas.openxmlformats.org/officeDocument/2006/relationships/hyperlink" Target="http://172.30.45.4/cons/cgi/online.cgi?req=doc&amp;base=LAW&amp;n=532226&amp;date=19.05.2026" TargetMode="External"/><Relationship Id="rId53" Type="http://schemas.openxmlformats.org/officeDocument/2006/relationships/hyperlink" Target="http://172.30.45.4/cons/cgi/online.cgi?req=doc&amp;base=LAW&amp;n=521885&amp;date=19.05.2026&amp;dst=100173&amp;field=134" TargetMode="External"/><Relationship Id="rId54" Type="http://schemas.openxmlformats.org/officeDocument/2006/relationships/hyperlink" Target="http://172.30.45.4/cons/cgi/online.cgi?req=doc&amp;base=LAW&amp;n=505294&amp;date=19.05.2026&amp;dst=29&amp;field=134" TargetMode="External"/><Relationship Id="rId55" Type="http://schemas.openxmlformats.org/officeDocument/2006/relationships/image" Target="media/image18.wmf"/><Relationship Id="rId56" Type="http://schemas.openxmlformats.org/officeDocument/2006/relationships/image" Target="media/media18.svg"/><Relationship Id="rId57" Type="http://schemas.openxmlformats.org/officeDocument/2006/relationships/image" Target="media/image19.wmf"/><Relationship Id="rId58" Type="http://schemas.openxmlformats.org/officeDocument/2006/relationships/image" Target="media/media19.svg"/><Relationship Id="rId59" Type="http://schemas.openxmlformats.org/officeDocument/2006/relationships/image" Target="media/image20.wmf"/><Relationship Id="rId60" Type="http://schemas.openxmlformats.org/officeDocument/2006/relationships/image" Target="media/media20.svg"/><Relationship Id="rId61" Type="http://schemas.openxmlformats.org/officeDocument/2006/relationships/image" Target="media/image21.wmf"/><Relationship Id="rId62" Type="http://schemas.openxmlformats.org/officeDocument/2006/relationships/image" Target="media/media21.svg"/><Relationship Id="rId63" Type="http://schemas.openxmlformats.org/officeDocument/2006/relationships/image" Target="media/image22.wmf"/><Relationship Id="rId64" Type="http://schemas.openxmlformats.org/officeDocument/2006/relationships/image" Target="media/media22.svg"/><Relationship Id="rId65" Type="http://schemas.openxmlformats.org/officeDocument/2006/relationships/image" Target="media/image23.wmf"/><Relationship Id="rId66" Type="http://schemas.openxmlformats.org/officeDocument/2006/relationships/image" Target="media/media23.svg"/><Relationship Id="rId67" Type="http://schemas.openxmlformats.org/officeDocument/2006/relationships/image" Target="media/image24.wmf"/><Relationship Id="rId68" Type="http://schemas.openxmlformats.org/officeDocument/2006/relationships/image" Target="media/media24.svg"/><Relationship Id="rId69" Type="http://schemas.openxmlformats.org/officeDocument/2006/relationships/image" Target="media/image25.wmf"/><Relationship Id="rId70" Type="http://schemas.openxmlformats.org/officeDocument/2006/relationships/image" Target="media/media25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России от 26.06.2025 N 424
"Об утверждении формы конкурсной заявки муниципального образования, представляемой для участия во Всероссийском конкурсе "Лучшая муниципальная практика" по номинации "Повышение эффективности управления территорией муниципального образования", и методики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"Повышение эффективности управления территорией муниципа</dc:title>
  <cp:lastModifiedBy>eakoliasova@pk.gov</cp:lastModifiedBy>
  <dcterms:created xsi:type="dcterms:W3CDTF">2026-05-19T11:53:01Z</dcterms:created>
</cp:coreProperties>
</file>