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88"/>
        <w:gridCol w:w="2273"/>
        <w:gridCol w:w="2287"/>
        <w:gridCol w:w="2288"/>
        <w:gridCol w:w="817"/>
        <w:gridCol w:w="252"/>
        <w:gridCol w:w="1215"/>
        <w:gridCol w:w="2036"/>
        <w:gridCol w:w="250"/>
      </w:tblGrid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 А С П О Р Т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регионального проекта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bottom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«Комфортный край»</w:t>
            </w:r>
            <w:r/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shd w:val="clear" w:color="auto" w:fill="ffffff"/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gridSpan w:val="5"/>
            <w:shd w:val="clear" w:color="auto" w:fill="ffffff"/>
            <w:tcW w:w="119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4"/>
        </w:trPr>
        <w:tc>
          <w:tcPr>
            <w:shd w:val="clear" w:color="auto" w:fill="ffffff"/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 Основные положения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Краткое наименование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Комфортный край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Срок реализации проекта</w:t>
            </w:r>
            <w:r/>
          </w:p>
        </w:tc>
        <w:tc>
          <w:tcPr>
            <w:gridSpan w:val="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4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01.01.2024 - 31.12.2030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Куратор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Чибисов Алексей Валерьевич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Заместитель председателя Правительства - министр промышленности и торговли Пермского края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Руководитель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Чуксина Татьяна Павловна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Министр экономического развития и инвестиций Пермского края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Администратор регионального проекта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60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Касумова Ксения Владимировна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Заместитель начальника управления, начальник отдела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Целевые группы</w:t>
            </w:r>
            <w:r/>
          </w:p>
        </w:tc>
        <w:tc>
          <w:tcPr>
            <w:gridSpan w:val="6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13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Муниципальные образования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6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13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Население Российской Федерации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государственными программами (комплексными программами) Российской Федерации и с государственными программами (комплексными программами) субъекта Российской Федерации (далее - государственные программы)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7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Государственная программа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Пермский край - территория культуры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7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Государственная программа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Спортивное Прикамье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288" w:type="dxa"/>
            <w:vAlign w:val="center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73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87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Государственная программа</w:t>
            </w:r>
            <w:r/>
          </w:p>
        </w:tc>
        <w:tc>
          <w:tcPr>
            <w:gridSpan w:val="4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572" w:type="dxa"/>
            <w:vAlign w:val="center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Региональная политика и развитие территорий</w:t>
            </w:r>
            <w:r/>
          </w:p>
        </w:tc>
        <w:tc>
          <w:tcPr>
            <w:tcW w:w="2036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  <w:tc>
          <w:tcPr>
            <w:tcW w:w="250" w:type="dxa"/>
            <w:vAlign w:val="top"/>
            <w:textDirection w:val="lrTb"/>
            <w:noWrap w:val="false"/>
          </w:tcPr>
          <w:p>
            <w:pPr>
              <w:pStyle w:val="618"/>
              <w:ind w:left="55" w:right="55"/>
              <w:jc w:val="left"/>
              <w:spacing w:before="0" w:after="0"/>
            </w:pPr>
            <w:r/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1497"/>
        <w:gridCol w:w="1497"/>
        <w:gridCol w:w="1119"/>
        <w:gridCol w:w="1112"/>
        <w:gridCol w:w="1106"/>
        <w:gridCol w:w="1104"/>
        <w:gridCol w:w="1104"/>
        <w:gridCol w:w="1106"/>
        <w:gridCol w:w="1104"/>
        <w:gridCol w:w="1106"/>
        <w:gridCol w:w="1104"/>
      </w:tblGrid>
      <w:tr>
        <w:tblPrEx/>
        <w:trPr/>
        <w:tc>
          <w:tcPr>
            <w:gridSpan w:val="1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 Показатели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7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7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Показатели регионального проекта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2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73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Период, год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«Строительство домов культуры, сельских клубов»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введенных в эксплуатацию объектов культуры (домов культуры, сельских клубов) (от запланированного количества на период реализации проекта)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22,2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88,89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88,89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«Создание новой инфраструктуры в сфере спорта»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(или) обустроенных объектов спортивной инфраструктуры (от запланированного количества на период реализации проекта)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РП, ВДЛ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19,3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49,2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66,1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83,1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«Развитие инфраструктуры и создание комфортных условий для жизни населения»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36,3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67,1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1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1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1497"/>
        <w:gridCol w:w="1497"/>
        <w:gridCol w:w="622"/>
        <w:gridCol w:w="622"/>
        <w:gridCol w:w="624"/>
        <w:gridCol w:w="622"/>
        <w:gridCol w:w="622"/>
        <w:gridCol w:w="622"/>
        <w:gridCol w:w="622"/>
        <w:gridCol w:w="624"/>
        <w:gridCol w:w="622"/>
        <w:gridCol w:w="622"/>
        <w:gridCol w:w="622"/>
        <w:gridCol w:w="623"/>
        <w:gridCol w:w="623"/>
        <w:gridCol w:w="622"/>
        <w:gridCol w:w="1251"/>
      </w:tblGrid>
      <w:tr>
        <w:tblPrEx/>
        <w:trPr/>
        <w:tc>
          <w:tcPr>
            <w:gridSpan w:val="19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 Прокси-показатели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прокси-показателя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Признак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возрастания/убывания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1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747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 показателя по кварталам/месяцам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Ответственный за достижение показателя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дек.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25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4"/>
        <w:gridCol w:w="1497"/>
        <w:gridCol w:w="1497"/>
        <w:gridCol w:w="825"/>
        <w:gridCol w:w="824"/>
        <w:gridCol w:w="826"/>
        <w:gridCol w:w="825"/>
        <w:gridCol w:w="825"/>
        <w:gridCol w:w="825"/>
        <w:gridCol w:w="826"/>
        <w:gridCol w:w="824"/>
        <w:gridCol w:w="825"/>
        <w:gridCol w:w="825"/>
        <w:gridCol w:w="824"/>
        <w:gridCol w:w="886"/>
      </w:tblGrid>
      <w:tr>
        <w:tblPrEx/>
        <w:trPr/>
        <w:tc>
          <w:tcPr>
            <w:gridSpan w:val="16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 Помесячный план достижения показателей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Показатели регионального проекта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показателя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11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0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Плановые значения по месяцам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 конец 2026 года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«Строительство домов культуры, сельских клубов»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введенных в эксплуатацию объектов культуры (домов культуры, сельских клубов) (от запланированного количества на период реализации проекта)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88,89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«Создание новой инфраструктуры в сфере спорта»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(или) обустроенных объектов спортивной инфраструктуры (от запланированного количества на период реализации проекта)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РП, ВДЛ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Задача «Развитие инфраструктуры и создание комфортных условий для жизни населения»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Процент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84,4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9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8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2372"/>
        <w:gridCol w:w="2380"/>
        <w:gridCol w:w="1505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999"/>
        <w:gridCol w:w="1001"/>
        <w:gridCol w:w="1473"/>
      </w:tblGrid>
      <w:tr>
        <w:tblPrEx/>
        <w:trPr/>
        <w:tc>
          <w:tcPr>
            <w:gridSpan w:val="16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4. Мероприятия (результаты)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структурных элементов государственных программ вместе с наименованием государственной программы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(по ОКЕИ)</w:t>
            </w:r>
            <w:r/>
          </w:p>
        </w:tc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24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Базовое значение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3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Значения мероприятия (результата), параметра характеристики мероприятия (результата) по годам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Тип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Уровень мероприятия (результата)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Связь с показателями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значение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год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домов культуры, сельских клубов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объектов культуры (домов культуры, сельских клубов)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(реконструкция, техническое перевооружение, приобретение) объекта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введенных в эксплуатацию объектов культуры (домов культуры, сельских клубов) (от запланированного количества на период реализации проекта)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объектов культуры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1.1.2.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Мероприятие предусматривает предоставление субсидий бюджетам муниципальных образований Пермского края на реализацию мероприятий муниципальных образований по строительству домов культуры, сельских клубов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Создание новой инфраструктуры в сфере спорта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крытых ледовых объектов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(реконструкция, техническое перевооружение, приобретение) объекта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(или) обустроенных объектов спортивной инфраструктуры (от запланированного количества на период реализации проекта)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построенных (реконструированных, модернизированных) объектов инфраструктуры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построенных (реконструированных, модернизированных) объектов инфраструктуры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2.1.3.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Выделение субсидии муниципальным образованиям Пермского края на создание крытых ледовых объектов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Обустроены и (или) оснащены спортивным оборудованием и инвентарем спортивные площадки в муниципальных образованиях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(или) обустроенных объектов спортивной инфраструктуры (от запланированного количества на период реализации проекта)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Предоставление субсидий из бюджета Пермского края бюджетам муниципальных образований Пермского края в целях софинансирования расходных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 обязательств на мероприятия по устройству спортивных площадок и оснащению объектов спортивным оборудованием и инвентарем. В 2026 году заключено 19 соглашений с муниципалитетами на предоставление субсидий по обустройству и оснащению 24 спортивных площадок.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стадионы, межшкольные стадионы, спортивные площадки и иные спортивные объекты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(реконструкция, техническое перевооружение) объекта капитального строительства и (или) приобретение объекта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построенных и (или) обустроенных объектов спортивной инфраструктуры (от запланированного количества на период реализации проекта)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Предоставлен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ие субсидий муниципальным образованиям Пермского края на софинансирование мероприятий по строительству (реконструкции) стадионов, межшкольных стадионов, спортивных площадок и иных спортивных объектов (кроме крытых физкультурно-оздоровительных комплексов). 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Развитие инфраструктуры и создание комфортных условий для жизни населения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Благоустроено территорий, прилегающих к зданиям образовательных учреждений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Мероприятие предусматривает предоставление субсидий бюджетам муниципальных образо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ваний Пермского края на реализацию мероприятий муниципальных образований по благоустройству территорий, прилегающих к зданиям образовательных организаций, предоставляющих общедоступное и бесплатное начальное общее, основное общее, среднее общее образование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Реконструировано, отремонтировано учреждений культуры (домов культуры, сельских клубов, библиотек, детских школ искусств), построено детских школ искусств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рамках мероприятий производится реконструкция, ремонт учреждений культуры (домов культуры, сельских клубов, библиотек, детских школ искусств)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устройству, ремонту тротуаров и (или) сетей уличного освещения, устройству контейнерных площадок для накопления ТКО, оборудованию организованных мест отдыха людей у воды, оборудованию торговых мест торговыми прилавками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оборудование организованных мест отдыха людей у воды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оборудование торговых мест торговыми прилавками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устройство контейнерных площадок для накопления ТКО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устройство, ремонт тротуаров и (или) сетей уличного освещения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3.3.5.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рамках мероприятия производится устройство, ремонт тротуаров и (или) сетей уличного освещения, устройство контейнерных площадок для накопления ТКО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Установлено (заменено) остановочных павильонов, на которых осуществляется посадка детей для подвоза к образовательным учреждениям и обратно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рам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ках мероприятия производится замена и установка остановочных павильонов на существующих остановках, на которых осуществляется посадка детей для подвоза к образовательным учреждениям и обратно (включенных в утвержденный маршрут движения школьных автобусов).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ремонту, устройству сетей водоснабжения, водозаборных сооружений, водонапорных башен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Мероприятие предусматривает предоставление субсидий бюдж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етам муниципальных образований Пермского края на реализацию мероприятий муниципальных образований по капитальному ремонту, текущему ремонту сетей водоснабжения, водозаборных сооружений, устройству, капитальному ремонту и текущему ремонту водонапорных башен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комплексных планов развития муниципальных образований территорий Верхнекамья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Благоустройство территории, ремонт объектов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Мероприятия комплексных планов развития МО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Мероприятия по ремонту фасадов МКД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3.6.3.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Мероприятие предусматривает предоставление субсидий бюджетам муниципальных образований Пермского края на реализацию мероприятий комплексных планов развития Соликамскому городскому округу Пермского края, муниципальному обра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зованию «Город Березники» Пермского края по благоустройству общественных пространств, территорий объектов образования и спорта, обустройству площадок для сбора твердых коммунальных отходов, капитальному ремонту, ремонту объектов общественной инфраструктуры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Обеспечено сопровождение регионального проекта "Комфортный край"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Приобретение товаров, работ, услуг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Количество видов производимой (реализуемой продукции)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-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3.7.2.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Мероприятие предусматривает изготовление информационных материалов для тиражирования среди муниципальных образований, а также доработку брендбука регионального проекта «Комфортный край» в целях дополнения новыми направлениями.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объекты общественной инфраструктуры местного значения по перераспределенным полномочиям между органами местного самоуправления и органами государственной власти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Единица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(реконструкция, техническое перевооружение) объекта капитального строительства и (или) приобретение объекта недвижимого имущества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Доля жителей, проживающих в населенных пунктах Пермского края, в которых реализованы мероприятия проекта, от общего количества жителей Пермского края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3.8.1.</w:t>
            </w:r>
            <w:r/>
          </w:p>
        </w:tc>
        <w:tc>
          <w:tcPr>
            <w:gridSpan w:val="15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2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Приспособление объекта культурного наследия регионального значения «Кинотеатр «Авангард» г. Березники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8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0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2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7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3693"/>
        <w:gridCol w:w="1455"/>
        <w:gridCol w:w="1455"/>
        <w:gridCol w:w="1454"/>
        <w:gridCol w:w="1456"/>
        <w:gridCol w:w="1455"/>
        <w:gridCol w:w="1454"/>
        <w:gridCol w:w="1455"/>
        <w:gridCol w:w="1453"/>
      </w:tblGrid>
      <w:tr>
        <w:tblPrEx/>
        <w:trPr/>
        <w:tc>
          <w:tcPr>
            <w:gridSpan w:val="10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 Финансовое обеспечение реализации регионального проекта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 и источники финансового обеспечения</w:t>
            </w:r>
            <w:r/>
          </w:p>
        </w:tc>
        <w:tc>
          <w:tcPr>
            <w:gridSpan w:val="7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18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 (тыс.рублей)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2029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домов культуры, сельских клубов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735 636,43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601 272,14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473 397,84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99 999,98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1 950 306,39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объектов культуры (домов культуры, сельских клубов)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735 636,43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601 272,14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473 397,84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99 999,98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1 950 306,39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630 548,63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587 057,86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466 756,94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99 999,98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1 824 363,41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630 548,63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587 057,86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446 756,94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1 664 363,43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735 636,43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601 272,14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453 397,84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1 790 306,41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Создание новой инфраструктуры в сфере спорта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801 530,30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2 016 544,85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439 722,33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948 187,21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4 537 627,49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крытых ледовых объектов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801 530,30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1 752 128,37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379 854,72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837 639,61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3 771 153,00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561 071,20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1 752 128,37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379 854,72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837 639,61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3 530 693,90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561 071,20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1 752 128,37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379 854,72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837 639,61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3 530 693,90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801 530,30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1 752 128,37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379 854,72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837 639,61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3 771 153,00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Обустроены и (или) оснащены спортивным оборудованием и инвентарем спортивные площадки в муниципальных образованиях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612 605,60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612 605,60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612 605,60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612 605,60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 муниципальных образованиях введены в эксплуатацию объекты спортивной инфраструктуры, реализованные в рамках конкурсного отбора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153 868,88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153 868,88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127 611,32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127 611,32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127 611,32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127 611,32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153 868,88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153 868,88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стадионы, межшкольные стадионы, спортивные площадки и иные спортивные объекты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2.4.4.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Развитие инфраструктуры и создание комфортных условий для жизни населения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3 558 832,95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3 926 687,09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2 939 368,78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2 786 410,97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2 719 744,30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3 186 614,20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3 186 614,20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22 304 272,49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Благоустроено территорий, прилегающих к зданиям образовательных учреждений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950 968,07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740 107,75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827 132,92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666 888,90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666 888,90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5 052 386,54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777 348,07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593 091,02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603 845,22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4 375 084,31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777 348,07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593 091,02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603 845,22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4 375 084,31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950 968,07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740 107,75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827 132,92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600 200,00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666 888,90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666 888,90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5 052 386,54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Реконструировано, отремонтировано учреждений культуры (домов культуры, сельских клубов, библиотек, детских школ искусств), построено детских школ искусств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541 827,89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1 047 144,50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716 731,30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744 631,30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4 819 209,57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406 887,99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746 994,52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716 731,30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744 631,30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4 027 135,29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406 887,99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746 994,52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716 731,30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744 631,30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4 027 135,29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541 827,89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1 047 144,50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716 731,30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744 631,30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4 819 209,57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устройству, ремонту тротуаров и (или) сетей уличного освещения, устройству контейнерных площадок для накопления ТКО, оборудованию организованных мест отдыха людей у воды, оборудованию торговых мест торговыми прилавками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574 363,48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872 638,37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793 298,60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793 298,60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5 230 477,34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516 268,98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799 496,17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4 940 580,84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516 268,98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799 496,17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4 940 580,84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574 363,48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872 638,37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763 968,70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793 298,60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793 298,60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5 230 477,34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Установлено (заменено) остановочных павильонов, на которых осуществляется посадка детей для подвоза к образовательным учреждениям и обратно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76 882,27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52 184,27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65 758,92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136 666,70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136 666,70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576 158,86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69 869,87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47 029,93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123 000,00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123 000,00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528 998,10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69 869,87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47 029,93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123 000,00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123 000,00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528 998,10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76 882,27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52 184,27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65 758,92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136 666,70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136 666,70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576 158,86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ремонту, устройству сетей водоснабжения, водозаборных сооружений, водонапорных башен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474 230,74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341 555,40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3 376 279,61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261 235,34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255 916,03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2 720 660,44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261 235,34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255 916,03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535 476,60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2 720 660,44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474 230,74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341 555,40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409 121,90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713 968,80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3 376 279,61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комплексных планов развития муниципальных образований территорий Верхнекамья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940 560,50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872 756,80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450 960,93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228 289,07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2 977 434,50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720 648,40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748 395,10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356 297,82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2 360 208,52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720 648,40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748 395,10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356 297,82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121 216,80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2 360 208,52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940 560,50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872 756,80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450 960,93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228 289,07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161 622,40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2 977 434,50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Обеспечено сопровождение регионального проекта "Комфортный край"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1 300,00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1 300,00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объекты общественной инфраструктуры местного значения по перераспределенным полномочиям между органами местного самоуправления и органами государственной власти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271 026,07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271 026,07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 (всего), из них: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271 026,07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271 026,07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местным бюджетам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3.8.1.2.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X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Нераспределенный резерв (бюджет субъекта Российской Федерации)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righ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ИТОГО ПО РЕГИОНАЛЬНОМУ ПРОЕКТУ: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5 095 999,68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6 544 504,08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3 852 488,95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3 834 598,16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2 870 291,90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3 297 161,80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3 297 161,80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28 792 206,37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субъекта Российской Федерации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3 943 878,48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5 768 567,92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3 520 236,61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3 777 525,89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2 829 886,30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2 740 086,30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2 740 086,30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25 320 267,80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Консолидированные бюджеты муниципальных образований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5 095 999,68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6 544 204,08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3 561 162,87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3 734 498,18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2 830 091,90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3 296 961,80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3 296 961,80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28 359 880,31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06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Внебюджетные источники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69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53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719"/>
        <w:gridCol w:w="3495"/>
        <w:gridCol w:w="3494"/>
      </w:tblGrid>
      <w:tr>
        <w:tblPrEx/>
        <w:trPr/>
        <w:tc>
          <w:tcPr>
            <w:gridSpan w:val="3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8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5.1. Финансовое обеспечение регионального проекта за счет бюджетных ассигнований по источникам финансирования дефицита бюджета субъекта Российской Федерации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 и источники финансирования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Объем финансового обеспечения по годам реализации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(тыс. 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719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49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618"/>
        <w:jc w:val="left"/>
        <w:spacing w:before="0" w:after="0"/>
      </w:pPr>
      <w:r/>
      <w:r/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6"/>
        <w:gridCol w:w="3750"/>
        <w:gridCol w:w="966"/>
        <w:gridCol w:w="965"/>
        <w:gridCol w:w="964"/>
        <w:gridCol w:w="966"/>
        <w:gridCol w:w="964"/>
        <w:gridCol w:w="967"/>
        <w:gridCol w:w="964"/>
        <w:gridCol w:w="964"/>
        <w:gridCol w:w="967"/>
        <w:gridCol w:w="964"/>
        <w:gridCol w:w="966"/>
        <w:gridCol w:w="964"/>
      </w:tblGrid>
      <w:tr>
        <w:tblPrEx/>
        <w:trPr/>
        <w:tc>
          <w:tcPr>
            <w:gridSpan w:val="14"/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570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6. Помесячный план исполнения бюджета субъекта Российской Федерации в части бюджетных ассигнований, предусмотренных на финансовое обеспечение реализации регионального проекта в 2026 году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</w:r>
          </w:p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п/п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Наименование мероприятия (результата)</w:t>
            </w:r>
            <w:r/>
          </w:p>
        </w:tc>
        <w:tc>
          <w:tcPr>
            <w:gridSpan w:val="11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061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План исполнения нарастающим итогом (тыс. рублей)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vMerge w:val="restart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Всего на конец 2026 года (тыс. рублей)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янв.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фев.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март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апр.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май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июнь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июль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авг.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сен.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окт.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ноя.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vMerge w:val="continue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11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</w:t>
            </w:r>
            <w:r/>
          </w:p>
        </w:tc>
        <w:tc>
          <w:tcPr>
            <w:gridSpan w:val="1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Строительство домов культуры, сельских клубов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объектов культуры (домов культуры, сельских клубов)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122 815,20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122 815,20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122 815,20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122 815,20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235 630,40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235 630,40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235 630,40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235 630,40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466 756,94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</w:t>
            </w:r>
            <w:r/>
          </w:p>
        </w:tc>
        <w:tc>
          <w:tcPr>
            <w:gridSpan w:val="1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Создание новой инфраструктуры в сфере спорта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Введено в эксплуатацию крытых ледовых объектов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100 000,00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379 854,72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Обустроены и (или) оснащены спортивным оборудованием и инвентарем спортивные площадки в муниципальных образованиях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40 547,60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59 867,60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стадионы, межшкольные стадионы, спортивные площадки и иные спортивные объекты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0,01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</w:t>
            </w:r>
            <w:r/>
          </w:p>
        </w:tc>
        <w:tc>
          <w:tcPr>
            <w:gridSpan w:val="13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15331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Развитие инфраструктуры и создание комфортных условий для жизни населения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3.1.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Благоустроено территорий, прилегающих к зданиям образовательных учреждений 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603 845,22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3.2.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Реконструировано, отремонтировано учреждений культуры (домов культуры, сельских клубов, библиотек, детских школ искусств), построено детских школ искусств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179 282,60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179 282,60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179 282,60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179 282,60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340 936,98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3.3.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устройству, ремонту тротуаров и (или) сетей уличного освещения, устройству контейнерных площадок для накопления ТКО, оборудованию организованных мест отдыха людей у воды, оборудованию торговых мест торговыми прилавками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363 673,70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668 940,89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3.4.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Установлено (заменено) остановочных павильонов, на которых осуществляется посадка детей для подвоза к образовательным учреждениям и обратно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34 000,00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58 098,30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3.5.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по ремонту, устройству сетей водоснабжения, водозаборных сооружений, водонапорных башен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204 560,95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204 560,95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204 560,95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204 560,95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204 560,95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314 312,07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3.6.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Реализованы мероприятия комплексных планов развития муниципальных образований территорий Верхнекамья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68 629,70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68 629,70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157 594,30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161 410,30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161 410,30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294 759,80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294 759,80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294 759,80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338 220,70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338 220,70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338 220,70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3.7.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Обеспечено сопровождение регионального проекта "Комфортный край"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300,00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3.8.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Построены (реконструированы) объекты общественной инфраструктуры местного значения по перераспределенным полномочиям между органами местного самоуправления и органами государственной власти Пермского края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251 026,07</w:t>
            </w:r>
            <w:r/>
          </w:p>
        </w:tc>
      </w:tr>
      <w:tr>
        <w:tblPrEx/>
        <w:trPr/>
        <w:tc>
          <w:tcPr>
            <w:gridSpan w:val="2"/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12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left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ИТОГО: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0,00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68 629,70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850 146,95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1 061 926,75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1 065 742,75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1 065 742,75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1 361 046,63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1 583 612,95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2 053 526,04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2 116 306,94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2 116 306,94</w:t>
            </w:r>
            <w:r/>
          </w:p>
        </w:tc>
        <w:tc>
          <w:tcPr>
            <w:shd w:val="clear" w:color="auto" w:fill="ffffff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szCs w:val="18"/>
                <w:u w:val="none"/>
              </w:rPr>
              <w:t xml:space="preserve">3 482 159,50</w:t>
            </w:r>
            <w:r/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750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5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7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6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4" w:type="dxa"/>
            <w:vAlign w:val="top"/>
            <w:textDirection w:val="lrTb"/>
            <w:noWrap w:val="false"/>
          </w:tcPr>
          <w:p>
            <w:pPr>
              <w:pStyle w:val="618"/>
              <w:ind w:left="0" w:right="0"/>
              <w:jc w:val="center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sectPr>
      <w:footnotePr>
        <w:numFmt w:val="decimal"/>
        <w:numRestart w:val="continuous"/>
      </w:footnotePr>
      <w:endnotePr>
        <w:numFmt w:val="lowerRoman"/>
      </w:endnotePr>
      <w:type w:val="nextPage"/>
      <w:pgSz w:w="16838" w:h="11906" w:orient="landscape"/>
      <w:pgMar w:top="1133" w:right="566" w:bottom="1133" w:left="566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DejaVu Sans">
    <w:panose1 w:val="020B0603030804020204"/>
  </w:font>
  <w:font w:name="Noto Sans Devanagari">
    <w:panose1 w:val="020B05020405040202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22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table" w:styleId="61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18" w:default="1">
    <w:name w:val="Normal"/>
    <w:next w:val="618"/>
    <w:pPr>
      <w:widowControl w:val="off"/>
    </w:pPr>
    <w:rPr>
      <w:rFonts w:ascii="Calibri" w:hAnsi="Calibri" w:eastAsia="DejaVu Sans" w:cs="Noto Sans Devanagari"/>
      <w:color w:val="auto"/>
      <w:sz w:val="22"/>
      <w:szCs w:val="24"/>
      <w:lang w:val="ru-RU" w:eastAsia="zh-CN" w:bidi="hi-IN"/>
    </w:rPr>
  </w:style>
  <w:style w:type="paragraph" w:styleId="619">
    <w:name w:val="Heading"/>
    <w:basedOn w:val="618"/>
    <w:next w:val="620"/>
    <w:pPr>
      <w:keepNext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620">
    <w:name w:val="Body Text"/>
    <w:basedOn w:val="618"/>
    <w:next w:val="620"/>
    <w:link w:val="618"/>
    <w:pPr>
      <w:spacing w:before="0" w:after="140" w:line="276" w:lineRule="auto"/>
    </w:pPr>
  </w:style>
  <w:style w:type="paragraph" w:styleId="621">
    <w:name w:val="List"/>
    <w:basedOn w:val="620"/>
    <w:next w:val="621"/>
    <w:link w:val="618"/>
    <w:rPr>
      <w:rFonts w:ascii="PT Astra Serif" w:hAnsi="PT Astra Serif" w:cs="Noto Sans Devanagari"/>
    </w:rPr>
  </w:style>
  <w:style w:type="paragraph" w:styleId="622">
    <w:name w:val="Caption"/>
    <w:basedOn w:val="618"/>
    <w:next w:val="622"/>
    <w:link w:val="618"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23">
    <w:name w:val="Index"/>
    <w:basedOn w:val="618"/>
    <w:next w:val="623"/>
    <w:link w:val="618"/>
    <w:pPr>
      <w:suppressLineNumbers/>
    </w:pPr>
    <w:rPr>
      <w:rFonts w:ascii="PT Astra Serif" w:hAnsi="PT Astra Serif" w:cs="Noto Sans Devanagari"/>
    </w:rPr>
  </w:style>
  <w:style w:type="paragraph" w:styleId="624">
    <w:name w:val="Версия сервера генератора печатных документов: 14.80 Версия клиента генератора печатных док"/>
    <w:next w:val="624"/>
    <w:link w:val="618"/>
    <w:pPr>
      <w:widowControl w:val="off"/>
      <w:pBdr>
        <w:between w:val="none" w:color="000000" w:sz="0" w:space="0"/>
      </w:pBdr>
      <w:framePr w:dropCap="none" w:lines="0" w:vSpace="0" w:hSpace="0"/>
    </w:pPr>
    <w:rPr>
      <w:rFonts w:ascii="Calibri" w:hAnsi="Calibri" w:eastAsia="DejaVu Sans" w:cs="Noto Sans Devanagari"/>
      <w:color w:val="auto"/>
      <w:spacing w:val="1317"/>
      <w:position w:val="0"/>
      <w:sz w:val="104"/>
      <w:szCs w:val="24"/>
      <w:highlight w:val="none"/>
      <w:lang w:val="ru-RU" w:eastAsia="en-US"/>
    </w:rPr>
  </w:style>
  <w:style w:type="paragraph" w:styleId="625">
    <w:name w:val="Основной (ПечДок)"/>
    <w:next w:val="625"/>
    <w:link w:val="618"/>
    <w:pPr>
      <w:ind w:left="0" w:right="0" w:firstLine="0"/>
      <w:jc w:val="both"/>
      <w:spacing w:before="0" w:after="0" w:line="24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26">
    <w:name w:val="Заголовок 1 (ПечДок)"/>
    <w:next w:val="626"/>
    <w:pPr>
      <w:ind w:left="0" w:right="0" w:firstLine="0"/>
      <w:jc w:val="left"/>
      <w:spacing w:before="0" w:after="0" w:line="540" w:lineRule="exact"/>
      <w:widowControl w:val="off"/>
    </w:pPr>
    <w:rPr>
      <w:rFonts w:ascii="Times New Roman" w:hAnsi="Times New Roman" w:eastAsia="Times New Roman" w:cs="Times New Roman"/>
      <w:color w:val="auto"/>
      <w:sz w:val="36"/>
      <w:szCs w:val="24"/>
      <w:lang w:val="ru-RU" w:eastAsia="zh-CN" w:bidi="hi-IN"/>
    </w:rPr>
  </w:style>
  <w:style w:type="paragraph" w:styleId="627">
    <w:name w:val="Заголовок 2 (ПечДок)"/>
    <w:next w:val="627"/>
    <w:link w:val="618"/>
    <w:pPr>
      <w:ind w:left="0" w:right="0" w:firstLine="0"/>
      <w:jc w:val="left"/>
      <w:spacing w:before="0" w:after="0" w:line="480" w:lineRule="exact"/>
      <w:widowControl w:val="off"/>
    </w:pPr>
    <w:rPr>
      <w:rFonts w:ascii="Times New Roman" w:hAnsi="Times New Roman" w:eastAsia="Times New Roman" w:cs="Times New Roman"/>
      <w:color w:val="auto"/>
      <w:sz w:val="32"/>
      <w:szCs w:val="24"/>
      <w:lang w:val="ru-RU" w:eastAsia="zh-CN" w:bidi="hi-IN"/>
    </w:rPr>
  </w:style>
  <w:style w:type="paragraph" w:styleId="628">
    <w:name w:val="Заголовок 3 (ПечДок)"/>
    <w:next w:val="628"/>
    <w:link w:val="618"/>
    <w:pPr>
      <w:ind w:left="0" w:right="0" w:firstLine="0"/>
      <w:jc w:val="left"/>
      <w:spacing w:before="0" w:after="0" w:line="420" w:lineRule="exact"/>
      <w:widowControl w:val="off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hi-IN"/>
    </w:rPr>
  </w:style>
  <w:style w:type="paragraph" w:styleId="629">
    <w:name w:val="Заголовок 4 (ПечДок)"/>
    <w:next w:val="629"/>
    <w:link w:val="618"/>
    <w:pPr>
      <w:ind w:left="0" w:right="0" w:firstLine="0"/>
      <w:jc w:val="left"/>
      <w:spacing w:before="0" w:after="0" w:line="390" w:lineRule="exact"/>
      <w:widowControl w:val="off"/>
    </w:pPr>
    <w:rPr>
      <w:rFonts w:ascii="Times New Roman" w:hAnsi="Times New Roman" w:eastAsia="Times New Roman" w:cs="Times New Roman"/>
      <w:color w:val="auto"/>
      <w:sz w:val="26"/>
      <w:szCs w:val="24"/>
      <w:lang w:val="ru-RU" w:eastAsia="zh-CN" w:bidi="hi-IN"/>
    </w:rPr>
  </w:style>
  <w:style w:type="paragraph" w:styleId="630">
    <w:name w:val="Заголовок 5 (ПечДок)"/>
    <w:next w:val="630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paragraph" w:styleId="631">
    <w:name w:val="Сноска (ПечДок)"/>
    <w:next w:val="631"/>
    <w:link w:val="618"/>
    <w:pPr>
      <w:ind w:left="0" w:right="0" w:firstLine="0"/>
      <w:jc w:val="left"/>
      <w:spacing w:before="0" w:after="0" w:line="360" w:lineRule="exact"/>
      <w:widowControl w:val="off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hi-IN"/>
    </w:rPr>
  </w:style>
  <w:style w:type="character" w:styleId="22643" w:default="1">
    <w:name w:val="Default Paragraph Font"/>
    <w:uiPriority w:val="1"/>
    <w:semiHidden/>
    <w:unhideWhenUsed/>
  </w:style>
  <w:style w:type="numbering" w:styleId="2264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eeabidzhba@pk.gov</cp:lastModifiedBy>
  <cp:revision>1</cp:revision>
  <dcterms:created xsi:type="dcterms:W3CDTF">2026-07-01T07:33:00Z</dcterms:created>
  <dcterms:modified xsi:type="dcterms:W3CDTF">2026-07-01T10:34:59Z</dcterms:modified>
</cp:coreProperties>
</file>