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195" w:line="240" w:lineRule="auto"/>
        <w:shd w:val="clear" w:color="auto" w:fill="ffffff"/>
        <w:rPr>
          <w:rFonts w:ascii="Roboto" w:hAnsi="Roboto" w:eastAsia="Times New Roman" w:cs="Times New Roman"/>
          <w:b/>
          <w:bCs/>
          <w:color w:val="000000"/>
          <w:sz w:val="20"/>
          <w:szCs w:val="24"/>
          <w:lang w:eastAsia="ru-RU"/>
        </w:rPr>
        <w:outlineLvl w:val="2"/>
      </w:pPr>
      <w:r>
        <w:rPr>
          <w:rFonts w:ascii="Roboto" w:hAnsi="Roboto" w:eastAsia="Times New Roman" w:cs="Times New Roman"/>
          <w:b/>
          <w:bCs/>
          <w:color w:val="000000"/>
          <w:sz w:val="28"/>
          <w:szCs w:val="36"/>
          <w:lang w:eastAsia="ru-RU"/>
        </w:rPr>
        <w:t xml:space="preserve">Объявление о проведении регионального этапа Всероссийского конкурса «Лучшая муниципальная практика»</w:t>
      </w:r>
      <w:r>
        <w:rPr>
          <w:rFonts w:ascii="Roboto" w:hAnsi="Roboto" w:eastAsia="Times New Roman" w:cs="Times New Roman"/>
          <w:b/>
          <w:bCs/>
          <w:color w:val="000000"/>
          <w:sz w:val="20"/>
          <w:szCs w:val="24"/>
          <w:lang w:eastAsia="ru-RU"/>
        </w:rPr>
      </w:r>
      <w:r>
        <w:rPr>
          <w:rFonts w:ascii="Roboto" w:hAnsi="Roboto" w:eastAsia="Times New Roman" w:cs="Times New Roman"/>
          <w:b/>
          <w:bCs/>
          <w:color w:val="000000"/>
          <w:sz w:val="20"/>
          <w:szCs w:val="24"/>
          <w:lang w:eastAsia="ru-RU"/>
        </w:rPr>
      </w:r>
    </w:p>
    <w:p>
      <w:pPr>
        <w:jc w:val="both"/>
        <w:spacing w:before="360" w:after="0" w:line="240" w:lineRule="auto"/>
        <w:shd w:val="clear" w:color="auto" w:fill="ffffff"/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Администрация губернатора Пермского края извещает о начале приема конкурсных заявок муниципальных образований Пермского края для участия в региональном этапе Всероссийского конкурса «Лучшая муниципальная практика» (далее – Конкурс).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r>
    </w:p>
    <w:p>
      <w:pPr>
        <w:jc w:val="both"/>
        <w:spacing w:before="360" w:after="0" w:line="240" w:lineRule="auto"/>
        <w:shd w:val="clear" w:color="auto" w:fill="ffffff"/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В соответствии с Постановлением Правительства Российской Федерации от 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18 августа 2016 г. N 815</w:t>
      </w:r>
      <w:r>
        <w:t xml:space="preserve"> </w:t>
      </w:r>
      <w:r>
        <w:t xml:space="preserve">«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О Всероссийском конкурсе 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"Л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учшая муниципальная практика"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 в 2025 году Конкурс проводится по следующим номинациям: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Roboto" w:hAnsi="Roboto" w:cs="Roboto"/>
          <w:sz w:val="24"/>
          <w:szCs w:val="24"/>
        </w:rPr>
      </w:pPr>
      <w:r>
        <w:rPr>
          <w:rFonts w:ascii="Roboto" w:hAnsi="Roboto" w:cs="Roboto"/>
          <w:sz w:val="24"/>
          <w:szCs w:val="24"/>
        </w:rPr>
      </w:r>
      <w:r>
        <w:rPr>
          <w:rFonts w:ascii="Roboto" w:hAnsi="Roboto" w:cs="Roboto"/>
          <w:sz w:val="24"/>
          <w:szCs w:val="24"/>
        </w:rPr>
      </w:r>
      <w:r>
        <w:rPr>
          <w:rFonts w:ascii="Roboto" w:hAnsi="Roboto" w:cs="Roboto"/>
          <w:sz w:val="24"/>
          <w:szCs w:val="24"/>
        </w:rPr>
      </w:r>
    </w:p>
    <w:p>
      <w:pPr>
        <w:jc w:val="both"/>
        <w:spacing w:after="0" w:line="240" w:lineRule="auto"/>
        <w:rPr>
          <w:rFonts w:ascii="Roboto" w:hAnsi="Roboto" w:cs="Roboto"/>
          <w:sz w:val="24"/>
          <w:szCs w:val="24"/>
        </w:rPr>
      </w:pPr>
      <w:r>
        <w:rPr>
          <w:rFonts w:ascii="Roboto" w:hAnsi="Roboto" w:cs="Roboto"/>
          <w:sz w:val="24"/>
          <w:szCs w:val="24"/>
        </w:rPr>
        <w:t xml:space="preserve">1) Повышение эффективности управления территорией муниципального образования;</w:t>
      </w:r>
      <w:r>
        <w:rPr>
          <w:rFonts w:ascii="Roboto" w:hAnsi="Roboto" w:cs="Roboto"/>
          <w:sz w:val="24"/>
          <w:szCs w:val="24"/>
        </w:rPr>
      </w:r>
      <w:r>
        <w:rPr>
          <w:rFonts w:ascii="Roboto" w:hAnsi="Roboto" w:cs="Roboto"/>
          <w:sz w:val="24"/>
          <w:szCs w:val="24"/>
        </w:rPr>
      </w:r>
    </w:p>
    <w:p>
      <w:pPr>
        <w:jc w:val="both"/>
        <w:spacing w:before="120" w:after="0" w:line="240" w:lineRule="auto"/>
        <w:rPr>
          <w:rFonts w:ascii="Roboto" w:hAnsi="Roboto" w:cs="Roboto"/>
          <w:sz w:val="24"/>
          <w:szCs w:val="24"/>
        </w:rPr>
      </w:pPr>
      <w:r>
        <w:rPr>
          <w:rFonts w:ascii="Roboto" w:hAnsi="Roboto" w:cs="Roboto"/>
          <w:sz w:val="24"/>
          <w:szCs w:val="24"/>
        </w:rPr>
        <w:t xml:space="preserve">2)  П</w:t>
      </w:r>
      <w:r>
        <w:rPr>
          <w:rFonts w:ascii="Roboto" w:hAnsi="Roboto" w:cs="Roboto"/>
          <w:sz w:val="24"/>
          <w:szCs w:val="24"/>
        </w:rPr>
        <w:t xml:space="preserve">овышение узнаваемости муниципального образования ("бренд территории")</w:t>
      </w:r>
      <w:r>
        <w:rPr>
          <w:rFonts w:ascii="Roboto" w:hAnsi="Roboto" w:cs="Roboto"/>
          <w:sz w:val="24"/>
          <w:szCs w:val="24"/>
        </w:rPr>
        <w:t xml:space="preserve">;</w:t>
      </w:r>
      <w:r>
        <w:rPr>
          <w:rFonts w:ascii="Roboto" w:hAnsi="Roboto" w:cs="Roboto"/>
          <w:sz w:val="24"/>
          <w:szCs w:val="24"/>
        </w:rPr>
      </w:r>
      <w:r>
        <w:rPr>
          <w:rFonts w:ascii="Roboto" w:hAnsi="Roboto" w:cs="Roboto"/>
          <w:sz w:val="24"/>
          <w:szCs w:val="24"/>
        </w:rPr>
      </w:r>
    </w:p>
    <w:p>
      <w:pPr>
        <w:jc w:val="both"/>
        <w:spacing w:before="120" w:after="0" w:line="240" w:lineRule="auto"/>
        <w:rPr>
          <w:rFonts w:ascii="Roboto" w:hAnsi="Roboto" w:cs="Roboto"/>
          <w:sz w:val="24"/>
          <w:szCs w:val="24"/>
        </w:rPr>
      </w:pPr>
      <w:r>
        <w:rPr>
          <w:rFonts w:ascii="Roboto" w:hAnsi="Roboto" w:cs="Roboto"/>
          <w:sz w:val="24"/>
          <w:szCs w:val="24"/>
        </w:rPr>
      </w:r>
      <w:r>
        <w:rPr>
          <w:rFonts w:ascii="Roboto" w:hAnsi="Roboto" w:cs="Roboto"/>
          <w:sz w:val="24"/>
          <w:szCs w:val="24"/>
        </w:rPr>
        <w:t xml:space="preserve">3) </w:t>
      </w:r>
      <w:r>
        <w:rPr>
          <w:rFonts w:ascii="Roboto" w:hAnsi="Roboto" w:cs="Roboto"/>
          <w:sz w:val="24"/>
          <w:szCs w:val="24"/>
        </w:rPr>
        <w:t xml:space="preserve">Укрепление межнационального мира и согласия, реализация иных мероприятий в сфере национальной политики на муниципальном уровне</w:t>
      </w:r>
      <w:r>
        <w:rPr>
          <w:rFonts w:ascii="Roboto" w:hAnsi="Roboto" w:cs="Roboto"/>
          <w:sz w:val="24"/>
          <w:szCs w:val="24"/>
        </w:rPr>
        <w:t xml:space="preserve">;</w:t>
      </w:r>
      <w:r>
        <w:rPr>
          <w:rFonts w:ascii="Roboto" w:hAnsi="Roboto" w:cs="Roboto"/>
          <w:sz w:val="24"/>
          <w:szCs w:val="24"/>
        </w:rPr>
      </w:r>
      <w:r>
        <w:rPr>
          <w:rFonts w:ascii="Roboto" w:hAnsi="Roboto" w:cs="Roboto"/>
          <w:sz w:val="24"/>
          <w:szCs w:val="24"/>
        </w:rPr>
      </w:r>
    </w:p>
    <w:p>
      <w:pPr>
        <w:jc w:val="both"/>
        <w:spacing w:before="120" w:after="0" w:line="240" w:lineRule="auto"/>
        <w:rPr>
          <w:rFonts w:ascii="Roboto" w:hAnsi="Roboto" w:cs="Roboto"/>
          <w:sz w:val="24"/>
          <w:szCs w:val="24"/>
        </w:rPr>
      </w:pPr>
      <w:r>
        <w:rPr>
          <w:rFonts w:ascii="Roboto" w:hAnsi="Roboto" w:cs="Roboto"/>
          <w:sz w:val="24"/>
          <w:szCs w:val="24"/>
        </w:rPr>
        <w:t xml:space="preserve">4) </w:t>
      </w:r>
      <w:r>
        <w:rPr>
          <w:rFonts w:ascii="Roboto" w:hAnsi="Roboto" w:cs="Roboto"/>
          <w:sz w:val="24"/>
          <w:szCs w:val="24"/>
        </w:rPr>
        <w:t xml:space="preserve">Модернизация городского хозяйства посредством внедрения цифровых технологий и платформенных решений ("умный город")</w:t>
      </w:r>
      <w:r>
        <w:rPr>
          <w:rFonts w:ascii="Roboto" w:hAnsi="Roboto" w:cs="Roboto"/>
          <w:sz w:val="24"/>
          <w:szCs w:val="24"/>
        </w:rPr>
        <w:t xml:space="preserve">;</w:t>
      </w:r>
      <w:r>
        <w:rPr>
          <w:rFonts w:ascii="Roboto" w:hAnsi="Roboto" w:cs="Roboto"/>
          <w:sz w:val="24"/>
          <w:szCs w:val="24"/>
        </w:rPr>
      </w:r>
      <w:r>
        <w:rPr>
          <w:rFonts w:ascii="Roboto" w:hAnsi="Roboto" w:cs="Roboto"/>
          <w:sz w:val="24"/>
          <w:szCs w:val="24"/>
        </w:rPr>
      </w:r>
    </w:p>
    <w:p>
      <w:pPr>
        <w:jc w:val="both"/>
        <w:spacing w:before="120" w:after="0" w:line="240" w:lineRule="auto"/>
        <w:rPr>
          <w:rFonts w:ascii="Roboto" w:hAnsi="Roboto" w:cs="Roboto"/>
          <w:sz w:val="24"/>
          <w:szCs w:val="24"/>
        </w:rPr>
      </w:pPr>
      <w:r>
        <w:rPr>
          <w:rFonts w:ascii="Roboto" w:hAnsi="Roboto" w:cs="Roboto"/>
          <w:sz w:val="24"/>
          <w:szCs w:val="24"/>
        </w:rPr>
        <w:t xml:space="preserve">5) 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Градостроительная политика, обеспечение благоприятной среды жизнедеятельности населения и развитие жилищно-коммунального хозяйства</w:t>
      </w:r>
      <w:r>
        <w:rPr>
          <w:rFonts w:ascii="Roboto" w:hAnsi="Roboto" w:cs="Roboto"/>
          <w:sz w:val="24"/>
          <w:szCs w:val="24"/>
        </w:rPr>
        <w:t xml:space="preserve">.</w:t>
      </w:r>
      <w:r>
        <w:rPr>
          <w:rFonts w:ascii="Roboto" w:hAnsi="Roboto" w:cs="Roboto"/>
          <w:sz w:val="24"/>
          <w:szCs w:val="24"/>
        </w:rPr>
      </w:r>
      <w:r>
        <w:rPr>
          <w:rFonts w:ascii="Roboto" w:hAnsi="Roboto" w:cs="Roboto"/>
          <w:sz w:val="24"/>
          <w:szCs w:val="24"/>
        </w:rPr>
      </w:r>
    </w:p>
    <w:p>
      <w:pPr>
        <w:jc w:val="both"/>
        <w:spacing w:after="0" w:line="240" w:lineRule="auto"/>
        <w:rPr>
          <w:rFonts w:ascii="Roboto" w:hAnsi="Roboto" w:cs="Roboto"/>
          <w:sz w:val="24"/>
          <w:szCs w:val="24"/>
        </w:rPr>
      </w:pPr>
      <w:r>
        <w:rPr>
          <w:rFonts w:ascii="Roboto" w:hAnsi="Roboto" w:cs="Roboto"/>
          <w:sz w:val="24"/>
          <w:szCs w:val="24"/>
        </w:rPr>
      </w:r>
      <w:r>
        <w:rPr>
          <w:rFonts w:ascii="Roboto" w:hAnsi="Roboto" w:cs="Roboto"/>
          <w:sz w:val="24"/>
          <w:szCs w:val="24"/>
        </w:rPr>
      </w:r>
      <w:r>
        <w:rPr>
          <w:rFonts w:ascii="Roboto" w:hAnsi="Roboto" w:cs="Roboto"/>
          <w:sz w:val="24"/>
          <w:szCs w:val="24"/>
        </w:rPr>
      </w:r>
    </w:p>
    <w:p>
      <w:pPr>
        <w:jc w:val="both"/>
        <w:spacing w:before="360" w:after="0" w:line="240" w:lineRule="auto"/>
        <w:shd w:val="clear" w:color="auto" w:fill="ffffff"/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Положение о региональном этапе Конкурса утверждено постановлением Правительства Пермского края от 25 июня 2020 г. № 457-п.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r>
    </w:p>
    <w:p>
      <w:pPr>
        <w:jc w:val="both"/>
        <w:spacing w:before="360" w:after="0" w:line="240" w:lineRule="auto"/>
        <w:shd w:val="clear" w:color="auto" w:fill="ffffff"/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Конкурсные заявки муниципальных образований Пермского края, признанные победителями регионального этапа Конкурса, примут участие в федеральном этапе Конкурса.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r>
    </w:p>
    <w:p>
      <w:pPr>
        <w:jc w:val="both"/>
        <w:spacing w:before="360" w:after="0" w:line="240" w:lineRule="auto"/>
        <w:shd w:val="clear" w:color="auto" w:fill="ffffff"/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Размер денежной премии для победителей федерального этапа Конкурса - городских и муниципальных округов по каждой номинации составляет: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r>
    </w:p>
    <w:p>
      <w:pPr>
        <w:spacing w:before="360" w:after="0" w:line="240" w:lineRule="auto"/>
        <w:shd w:val="clear" w:color="auto" w:fill="ffffff"/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1-е место - 50 млн. рублей;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br/>
        <w:t xml:space="preserve">2-е место - 40 млн. рублей;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br/>
        <w:t xml:space="preserve">3-е место - 30 млн. рублей;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br/>
        <w:t xml:space="preserve">4-е место - 20 млн. рублей;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br/>
        <w:t xml:space="preserve">5-е место - 10 млн. рублей;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r>
    </w:p>
    <w:p>
      <w:pPr>
        <w:spacing w:before="360" w:after="0" w:line="240" w:lineRule="auto"/>
        <w:shd w:val="clear" w:color="auto" w:fill="ffffff"/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Roboto" w:hAnsi="Roboto" w:eastAsia="Times New Roman" w:cs="Times New Roman"/>
          <w:b/>
          <w:color w:val="000000"/>
          <w:sz w:val="24"/>
          <w:szCs w:val="24"/>
          <w:lang w:eastAsia="ru-RU"/>
        </w:rPr>
        <w:t xml:space="preserve">Срок предоставления заявок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: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 до 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20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 ию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н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я 2026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года.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r>
    </w:p>
    <w:p>
      <w:pPr>
        <w:jc w:val="both"/>
        <w:spacing w:before="360" w:after="0" w:line="240" w:lineRule="auto"/>
        <w:shd w:val="clear" w:color="auto" w:fill="ffffff"/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Roboto" w:hAnsi="Roboto" w:eastAsia="Times New Roman" w:cs="Times New Roman"/>
          <w:b/>
          <w:bCs/>
          <w:color w:val="000000"/>
          <w:sz w:val="24"/>
          <w:szCs w:val="24"/>
          <w:lang w:eastAsia="ru-RU"/>
        </w:rPr>
        <w:t xml:space="preserve">Участники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: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городские и муниципальные округа Пермского края.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r>
    </w:p>
    <w:p>
      <w:pPr>
        <w:jc w:val="both"/>
        <w:spacing w:before="360" w:after="0" w:line="240" w:lineRule="auto"/>
        <w:shd w:val="clear" w:color="auto" w:fill="ffffff"/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Roboto" w:hAnsi="Roboto" w:eastAsia="Times New Roman" w:cs="Times New Roman"/>
          <w:b/>
          <w:bCs/>
          <w:color w:val="000000"/>
          <w:sz w:val="24"/>
          <w:szCs w:val="24"/>
          <w:lang w:eastAsia="ru-RU"/>
        </w:rPr>
        <w:t xml:space="preserve">Форма предоставления заявок: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r>
    </w:p>
    <w:p>
      <w:pPr>
        <w:jc w:val="both"/>
        <w:spacing w:before="360" w:after="0" w:line="240" w:lineRule="auto"/>
        <w:shd w:val="clear" w:color="auto" w:fill="ffffff"/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  <w:t xml:space="preserve">Заявки и материалы к ним направляются в Администрацию губернатора Пермского края в электронном виде посредством системы электронного документооборота (СЭД) без последующего предоставлении на бумажном носителе.</w:t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r>
      <w:r>
        <w:rPr>
          <w:rFonts w:ascii="Roboto" w:hAnsi="Roboto" w:eastAsia="Times New Roman" w:cs="Times New Roman"/>
          <w:color w:val="000000"/>
          <w:sz w:val="24"/>
          <w:szCs w:val="24"/>
          <w:lang w:eastAsia="ru-RU"/>
        </w:rPr>
      </w:r>
    </w:p>
    <w:p>
      <w:pPr>
        <w:jc w:val="both"/>
        <w:spacing w:before="360" w:after="0" w:line="240" w:lineRule="auto"/>
        <w:shd w:val="clear" w:color="auto" w:fill="ffffff"/>
        <w:rPr>
          <w:rFonts w:ascii="Roboto" w:hAnsi="Roboto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Roboto" w:hAnsi="Roboto" w:eastAsia="Times New Roman" w:cs="Times New Roman"/>
          <w:b/>
          <w:color w:val="000000"/>
          <w:sz w:val="24"/>
          <w:szCs w:val="24"/>
          <w:lang w:eastAsia="ru-RU"/>
        </w:rPr>
        <w:t xml:space="preserve">Контактное лицо:</w:t>
      </w:r>
      <w:r>
        <w:rPr>
          <w:rFonts w:ascii="Roboto" w:hAnsi="Roboto" w:eastAsia="Times New Roman" w:cs="Times New Roman"/>
          <w:b/>
          <w:color w:val="000000"/>
          <w:sz w:val="24"/>
          <w:szCs w:val="24"/>
          <w:lang w:eastAsia="ru-RU"/>
        </w:rPr>
      </w:r>
      <w:r>
        <w:rPr>
          <w:rFonts w:ascii="Roboto" w:hAnsi="Roboto" w:eastAsia="Times New Roman" w:cs="Times New Roman"/>
          <w:b/>
          <w:color w:val="000000"/>
          <w:sz w:val="24"/>
          <w:szCs w:val="24"/>
          <w:lang w:eastAsia="ru-RU"/>
        </w:rPr>
      </w:r>
    </w:p>
    <w:p>
      <w:pPr>
        <w:jc w:val="both"/>
        <w:spacing w:before="225" w:after="225" w:line="240" w:lineRule="auto"/>
        <w:rPr>
          <w:rFonts w:ascii="Arial" w:hAnsi="Arial" w:eastAsia="Times New Roman" w:cs="Arial"/>
          <w:color w:val="000000"/>
          <w:sz w:val="24"/>
          <w:szCs w:val="24"/>
          <w:highlight w:val="none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Колясова Елена Александровна, начальник отдела по работе с территориями департамента по развитию местного самоуправления Администрации губернатора  Пермского края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, тел. 217 74 24,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</w:r>
      <w:hyperlink r:id="rId8" w:tooltip="http://eakoliasova@ag.permkrai.ru" w:history="1">
        <w:r>
          <w:rPr>
            <w:rStyle w:val="836"/>
            <w:rFonts w:ascii="Arial" w:hAnsi="Arial" w:eastAsia="Times New Roman" w:cs="Arial"/>
            <w:sz w:val="24"/>
            <w:szCs w:val="24"/>
            <w:lang w:eastAsia="ru-RU"/>
          </w:rPr>
          <w:t xml:space="preserve">eakoliasova@ag.permkrai.ru</w:t>
        </w:r>
        <w:r>
          <w:rPr>
            <w:rStyle w:val="836"/>
            <w:rFonts w:ascii="Arial" w:hAnsi="Arial" w:eastAsia="Times New Roman" w:cs="Arial"/>
            <w:sz w:val="24"/>
            <w:szCs w:val="24"/>
            <w:lang w:eastAsia="ru-RU"/>
          </w:rPr>
        </w:r>
      </w:hyperlink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</w:r>
      <w:r>
        <w:rPr>
          <w:rFonts w:ascii="Arial" w:hAnsi="Arial" w:eastAsia="Times New Roman" w:cs="Arial"/>
          <w:color w:val="000000"/>
          <w:sz w:val="24"/>
          <w:szCs w:val="24"/>
          <w:highlight w:val="none"/>
          <w:lang w:eastAsia="ru-RU"/>
        </w:rPr>
      </w:r>
    </w:p>
    <w:p>
      <w:pPr>
        <w:jc w:val="both"/>
        <w:spacing w:before="360" w:after="0" w:line="240" w:lineRule="auto"/>
        <w:shd w:val="clear" w:color="auto" w:fill="ffffff"/>
        <w:rPr>
          <w:rFonts w:ascii="Roboto" w:hAnsi="Roboto" w:eastAsia="Times New Roman" w:cs="Times New Roman"/>
          <w:color w:val="000000"/>
          <w:sz w:val="24"/>
          <w:szCs w:val="24"/>
          <w:highlight w:val="none"/>
        </w:rPr>
      </w:pPr>
      <w:r>
        <w:rPr>
          <w:rFonts w:ascii="Roboto" w:hAnsi="Roboto" w:eastAsia="Times New Roman" w:cs="Times New Roman"/>
          <w:color w:val="000000"/>
          <w:sz w:val="24"/>
          <w:szCs w:val="24"/>
          <w:highlight w:val="none"/>
          <w:lang w:eastAsia="ru-RU"/>
        </w:rPr>
        <w:t xml:space="preserve">Формы конкурсных заявок и методика их оценки </w:t>
      </w:r>
      <w:bookmarkStart w:id="0" w:name="_GoBack"/>
      <w:r>
        <w:rPr>
          <w:highlight w:val="none"/>
        </w:rPr>
      </w:r>
      <w:bookmarkEnd w:id="0"/>
      <w:r>
        <w:rPr>
          <w:rFonts w:ascii="Roboto" w:hAnsi="Roboto" w:eastAsia="Times New Roman" w:cs="Times New Roman"/>
          <w:color w:val="000000"/>
          <w:sz w:val="24"/>
          <w:szCs w:val="24"/>
          <w:highlight w:val="none"/>
          <w:lang w:eastAsia="ru-RU"/>
        </w:rPr>
        <w:t xml:space="preserve">по каждой из номинаций, информация о муниципальных практиках, признанных победителями федерального этапа Конкурса за предыдущие годы, размещены по ссылке ***</w:t>
      </w:r>
      <w:r>
        <w:rPr>
          <w:rFonts w:ascii="Roboto" w:hAnsi="Roboto" w:eastAsia="Times New Roman" w:cs="Times New Roman"/>
          <w:color w:val="000000"/>
          <w:sz w:val="24"/>
          <w:szCs w:val="24"/>
          <w:highlight w:val="none"/>
        </w:rPr>
      </w:r>
      <w:r>
        <w:rPr>
          <w:rFonts w:ascii="Roboto" w:hAnsi="Roboto" w:eastAsia="Times New Roman" w:cs="Times New Roman"/>
          <w:color w:val="000000"/>
          <w:sz w:val="24"/>
          <w:szCs w:val="24"/>
          <w:highlight w:val="none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Roboto">
    <w:panose1 w:val="0200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2"/>
    <w:next w:val="832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basedOn w:val="833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2"/>
    <w:next w:val="832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basedOn w:val="833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2"/>
    <w:next w:val="832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basedOn w:val="833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2"/>
    <w:next w:val="832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basedOn w:val="833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2"/>
    <w:next w:val="832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basedOn w:val="833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2"/>
    <w:next w:val="832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basedOn w:val="833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2"/>
    <w:next w:val="832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basedOn w:val="833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2"/>
    <w:next w:val="832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basedOn w:val="833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2"/>
    <w:next w:val="832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basedOn w:val="833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List Paragraph"/>
    <w:basedOn w:val="832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2"/>
    <w:next w:val="832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3"/>
    <w:link w:val="675"/>
    <w:uiPriority w:val="10"/>
    <w:rPr>
      <w:sz w:val="48"/>
      <w:szCs w:val="48"/>
    </w:rPr>
  </w:style>
  <w:style w:type="paragraph" w:styleId="677">
    <w:name w:val="Subtitle"/>
    <w:basedOn w:val="832"/>
    <w:next w:val="832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3"/>
    <w:link w:val="677"/>
    <w:uiPriority w:val="11"/>
    <w:rPr>
      <w:sz w:val="24"/>
      <w:szCs w:val="24"/>
    </w:rPr>
  </w:style>
  <w:style w:type="paragraph" w:styleId="679">
    <w:name w:val="Quote"/>
    <w:basedOn w:val="832"/>
    <w:next w:val="832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2"/>
    <w:next w:val="832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2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3"/>
    <w:link w:val="683"/>
    <w:uiPriority w:val="99"/>
  </w:style>
  <w:style w:type="paragraph" w:styleId="685">
    <w:name w:val="Footer"/>
    <w:basedOn w:val="832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3"/>
    <w:link w:val="685"/>
    <w:uiPriority w:val="99"/>
  </w:style>
  <w:style w:type="paragraph" w:styleId="687">
    <w:name w:val="Caption"/>
    <w:basedOn w:val="832"/>
    <w:next w:val="832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3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9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3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4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6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0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character" w:styleId="836">
    <w:name w:val="Hyperlink"/>
    <w:basedOn w:val="833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://eakoliasova@ag.permkrai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HP Inc.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Колясова Елена Александровна</dc:creator>
  <cp:keywords/>
  <dc:description/>
  <cp:lastModifiedBy>eakoliasova@pk.gov</cp:lastModifiedBy>
  <cp:revision>5</cp:revision>
  <dcterms:created xsi:type="dcterms:W3CDTF">2025-06-10T05:42:00Z</dcterms:created>
  <dcterms:modified xsi:type="dcterms:W3CDTF">2026-05-19T11:57:17Z</dcterms:modified>
</cp:coreProperties>
</file>